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9762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HU4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71390">
        <w:rPr>
          <w:rFonts w:ascii="Arial" w:hAnsi="Arial" w:cs="Arial"/>
          <w:b/>
          <w:sz w:val="20"/>
          <w:szCs w:val="20"/>
        </w:rPr>
        <w:t>Annual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71390">
        <w:rPr>
          <w:rFonts w:ascii="Arial" w:hAnsi="Arial" w:cs="Arial"/>
          <w:sz w:val="20"/>
          <w:szCs w:val="20"/>
        </w:rPr>
        <w:t>01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9762F" w:rsidRPr="0079762F">
        <w:rPr>
          <w:rFonts w:ascii="Arial" w:hAnsi="Arial" w:cs="Arial"/>
          <w:sz w:val="20"/>
          <w:szCs w:val="20"/>
        </w:rPr>
        <w:t>HUD4 Investment and Construction Joint Stock Company</w:t>
      </w:r>
      <w:r w:rsidR="0079762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71390">
        <w:rPr>
          <w:rFonts w:ascii="Arial" w:hAnsi="Arial" w:cs="Arial"/>
          <w:sz w:val="20"/>
          <w:szCs w:val="20"/>
        </w:rPr>
        <w:t>annual General Mandate 2020</w:t>
      </w:r>
      <w:r w:rsidR="000635A5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B5801" w:rsidRDefault="00BB58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Approve the report on the operation results of 2019; operation plan for 2020 and operation results of period of 2015- 2020; operation plan for period of 2020 – 2025 in report No.43/ BC – HDQT dated 14 May 2020 of the Board of Directors as follows:</w:t>
      </w:r>
    </w:p>
    <w:p w:rsidR="00BB5801" w:rsidRDefault="000D0FE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Operation results of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722"/>
        <w:gridCol w:w="1595"/>
        <w:gridCol w:w="1595"/>
        <w:gridCol w:w="1596"/>
        <w:gridCol w:w="1596"/>
      </w:tblGrid>
      <w:tr w:rsidR="000D0FEB" w:rsidTr="000D0FEB">
        <w:tc>
          <w:tcPr>
            <w:tcW w:w="472" w:type="dxa"/>
          </w:tcPr>
          <w:p w:rsidR="000D0FEB" w:rsidRDefault="000D0FE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22" w:type="dxa"/>
          </w:tcPr>
          <w:p w:rsidR="000D0FEB" w:rsidRDefault="000D0FE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595" w:type="dxa"/>
          </w:tcPr>
          <w:p w:rsidR="000D0FEB" w:rsidRDefault="000D0FE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595" w:type="dxa"/>
          </w:tcPr>
          <w:p w:rsidR="000D0FEB" w:rsidRDefault="000D0FE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596" w:type="dxa"/>
          </w:tcPr>
          <w:p w:rsidR="000D0FEB" w:rsidRDefault="000D0FE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</w:t>
            </w:r>
          </w:p>
        </w:tc>
        <w:tc>
          <w:tcPr>
            <w:tcW w:w="1596" w:type="dxa"/>
          </w:tcPr>
          <w:p w:rsidR="000D0FEB" w:rsidRDefault="000D0FE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Realization/ Plan (%)</w:t>
            </w:r>
          </w:p>
        </w:tc>
      </w:tr>
      <w:tr w:rsidR="000D0FEB" w:rsidTr="000D0FEB">
        <w:tc>
          <w:tcPr>
            <w:tcW w:w="472" w:type="dxa"/>
          </w:tcPr>
          <w:p w:rsidR="000D0FEB" w:rsidRDefault="000D0FE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2" w:type="dxa"/>
          </w:tcPr>
          <w:p w:rsidR="000D0FEB" w:rsidRDefault="000D0FE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investment</w:t>
            </w:r>
          </w:p>
        </w:tc>
        <w:tc>
          <w:tcPr>
            <w:tcW w:w="1595" w:type="dxa"/>
          </w:tcPr>
          <w:p w:rsidR="000D0FEB" w:rsidRDefault="000D0FE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5" w:type="dxa"/>
          </w:tcPr>
          <w:p w:rsidR="000D0FEB" w:rsidRDefault="00E3379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596" w:type="dxa"/>
          </w:tcPr>
          <w:p w:rsidR="000D0FEB" w:rsidRDefault="00E3379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198.93</w:t>
            </w:r>
          </w:p>
        </w:tc>
        <w:tc>
          <w:tcPr>
            <w:tcW w:w="1596" w:type="dxa"/>
          </w:tcPr>
          <w:p w:rsidR="000D0FEB" w:rsidRDefault="00E33794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104.7%</w:t>
            </w:r>
          </w:p>
        </w:tc>
      </w:tr>
      <w:tr w:rsidR="000D0FEB" w:rsidTr="000D0FEB">
        <w:tc>
          <w:tcPr>
            <w:tcW w:w="472" w:type="dxa"/>
          </w:tcPr>
          <w:p w:rsidR="000D0FEB" w:rsidRDefault="000D0FEB" w:rsidP="000D0F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2" w:type="dxa"/>
          </w:tcPr>
          <w:p w:rsidR="000D0FEB" w:rsidRDefault="000D0FEB" w:rsidP="000D0F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production</w:t>
            </w:r>
          </w:p>
        </w:tc>
        <w:tc>
          <w:tcPr>
            <w:tcW w:w="1595" w:type="dxa"/>
          </w:tcPr>
          <w:p w:rsidR="000D0FEB" w:rsidRDefault="000D0FEB" w:rsidP="000D0FEB">
            <w:r w:rsidRPr="00BD4C8A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5" w:type="dxa"/>
          </w:tcPr>
          <w:p w:rsidR="000D0FEB" w:rsidRDefault="00E33794" w:rsidP="000D0F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596" w:type="dxa"/>
          </w:tcPr>
          <w:p w:rsidR="000D0FEB" w:rsidRDefault="00E33794" w:rsidP="000D0F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431.49</w:t>
            </w:r>
          </w:p>
        </w:tc>
        <w:tc>
          <w:tcPr>
            <w:tcW w:w="1596" w:type="dxa"/>
          </w:tcPr>
          <w:p w:rsidR="000D0FEB" w:rsidRDefault="00E33794" w:rsidP="000D0F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100.3%</w:t>
            </w:r>
          </w:p>
        </w:tc>
      </w:tr>
      <w:tr w:rsidR="000D0FEB" w:rsidTr="000D0FEB">
        <w:tc>
          <w:tcPr>
            <w:tcW w:w="472" w:type="dxa"/>
          </w:tcPr>
          <w:p w:rsidR="000D0FEB" w:rsidRDefault="000D0FEB" w:rsidP="000D0F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2" w:type="dxa"/>
          </w:tcPr>
          <w:p w:rsidR="000D0FEB" w:rsidRDefault="000D0FEB" w:rsidP="000D0F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595" w:type="dxa"/>
          </w:tcPr>
          <w:p w:rsidR="000D0FEB" w:rsidRDefault="000D0FEB" w:rsidP="000D0FEB">
            <w:r w:rsidRPr="00BD4C8A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5" w:type="dxa"/>
          </w:tcPr>
          <w:p w:rsidR="000D0FEB" w:rsidRDefault="00E33794" w:rsidP="000D0F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96" w:type="dxa"/>
          </w:tcPr>
          <w:p w:rsidR="000D0FEB" w:rsidRDefault="00E33794" w:rsidP="000D0F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261.232</w:t>
            </w:r>
          </w:p>
        </w:tc>
        <w:tc>
          <w:tcPr>
            <w:tcW w:w="1596" w:type="dxa"/>
          </w:tcPr>
          <w:p w:rsidR="000D0FEB" w:rsidRDefault="00E33794" w:rsidP="000D0F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87.1%</w:t>
            </w:r>
          </w:p>
        </w:tc>
      </w:tr>
      <w:tr w:rsidR="000D0FEB" w:rsidTr="000D0FEB">
        <w:tc>
          <w:tcPr>
            <w:tcW w:w="472" w:type="dxa"/>
          </w:tcPr>
          <w:p w:rsidR="000D0FEB" w:rsidRDefault="000D0FEB" w:rsidP="000D0F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22" w:type="dxa"/>
          </w:tcPr>
          <w:p w:rsidR="000D0FEB" w:rsidRDefault="000D0FEB" w:rsidP="000D0F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Contributing to the State's budget </w:t>
            </w:r>
          </w:p>
        </w:tc>
        <w:tc>
          <w:tcPr>
            <w:tcW w:w="1595" w:type="dxa"/>
          </w:tcPr>
          <w:p w:rsidR="000D0FEB" w:rsidRDefault="000D0FEB" w:rsidP="000D0FEB">
            <w:r w:rsidRPr="00BD4C8A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5" w:type="dxa"/>
          </w:tcPr>
          <w:p w:rsidR="000D0FEB" w:rsidRDefault="00E33794" w:rsidP="000D0F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96" w:type="dxa"/>
          </w:tcPr>
          <w:p w:rsidR="000D0FEB" w:rsidRDefault="009D142E" w:rsidP="000D0F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99.547</w:t>
            </w:r>
          </w:p>
        </w:tc>
        <w:tc>
          <w:tcPr>
            <w:tcW w:w="1596" w:type="dxa"/>
          </w:tcPr>
          <w:p w:rsidR="000D0FEB" w:rsidRDefault="009D142E" w:rsidP="000D0F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497.7%</w:t>
            </w:r>
          </w:p>
        </w:tc>
      </w:tr>
      <w:tr w:rsidR="000D0FEB" w:rsidTr="000D0FEB">
        <w:tc>
          <w:tcPr>
            <w:tcW w:w="472" w:type="dxa"/>
          </w:tcPr>
          <w:p w:rsidR="000D0FEB" w:rsidRDefault="000D0FEB" w:rsidP="000D0F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2" w:type="dxa"/>
          </w:tcPr>
          <w:p w:rsidR="000D0FEB" w:rsidRDefault="000D0FEB" w:rsidP="000D0F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595" w:type="dxa"/>
          </w:tcPr>
          <w:p w:rsidR="000D0FEB" w:rsidRDefault="000D0FEB" w:rsidP="000D0FEB">
            <w:r w:rsidRPr="00BD4C8A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5" w:type="dxa"/>
          </w:tcPr>
          <w:p w:rsidR="000D0FEB" w:rsidRDefault="007C3F86" w:rsidP="000D0F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96" w:type="dxa"/>
          </w:tcPr>
          <w:p w:rsidR="000D0FEB" w:rsidRDefault="007C3F86" w:rsidP="000D0F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15.057</w:t>
            </w:r>
          </w:p>
        </w:tc>
        <w:tc>
          <w:tcPr>
            <w:tcW w:w="1596" w:type="dxa"/>
          </w:tcPr>
          <w:p w:rsidR="000D0FEB" w:rsidRDefault="007C3F86" w:rsidP="000D0F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D142E">
              <w:rPr>
                <w:rFonts w:ascii="Arial" w:hAnsi="Arial" w:cs="Arial"/>
                <w:sz w:val="20"/>
                <w:szCs w:val="20"/>
              </w:rPr>
              <w:t>00.4%</w:t>
            </w:r>
          </w:p>
        </w:tc>
      </w:tr>
      <w:tr w:rsidR="007C3F86" w:rsidTr="000D0FEB">
        <w:tc>
          <w:tcPr>
            <w:tcW w:w="472" w:type="dxa"/>
          </w:tcPr>
          <w:p w:rsidR="007C3F86" w:rsidRDefault="007C3F86" w:rsidP="007C3F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22" w:type="dxa"/>
          </w:tcPr>
          <w:p w:rsidR="007C3F86" w:rsidRDefault="007C3F86" w:rsidP="007C3F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Owner's equity </w:t>
            </w:r>
          </w:p>
        </w:tc>
        <w:tc>
          <w:tcPr>
            <w:tcW w:w="1595" w:type="dxa"/>
          </w:tcPr>
          <w:p w:rsidR="007C3F86" w:rsidRDefault="007C3F86" w:rsidP="007C3F86">
            <w:r w:rsidRPr="00BD4C8A">
              <w:rPr>
                <w:rFonts w:ascii="Arial" w:hAnsi="Arial" w:cs="Arial"/>
                <w:sz w:val="20"/>
                <w:szCs w:val="20"/>
              </w:rPr>
              <w:t>VND billion</w:t>
            </w:r>
          </w:p>
        </w:tc>
        <w:tc>
          <w:tcPr>
            <w:tcW w:w="1595" w:type="dxa"/>
          </w:tcPr>
          <w:p w:rsidR="007C3F86" w:rsidRDefault="007C3F86" w:rsidP="007C3F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596" w:type="dxa"/>
          </w:tcPr>
          <w:p w:rsidR="007C3F86" w:rsidRDefault="007C3F86" w:rsidP="007C3F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205.163</w:t>
            </w:r>
          </w:p>
        </w:tc>
        <w:tc>
          <w:tcPr>
            <w:tcW w:w="1596" w:type="dxa"/>
          </w:tcPr>
          <w:p w:rsidR="007C3F86" w:rsidRDefault="007C3F86" w:rsidP="007C3F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99.59%</w:t>
            </w:r>
          </w:p>
        </w:tc>
      </w:tr>
      <w:tr w:rsidR="007C3F86" w:rsidTr="000D0FEB">
        <w:tc>
          <w:tcPr>
            <w:tcW w:w="472" w:type="dxa"/>
          </w:tcPr>
          <w:p w:rsidR="007C3F86" w:rsidRDefault="007C3F86" w:rsidP="007C3F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22" w:type="dxa"/>
          </w:tcPr>
          <w:p w:rsidR="007C3F86" w:rsidRDefault="007C3F86" w:rsidP="007C3F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(expected)</w:t>
            </w:r>
          </w:p>
        </w:tc>
        <w:tc>
          <w:tcPr>
            <w:tcW w:w="1595" w:type="dxa"/>
          </w:tcPr>
          <w:p w:rsidR="007C3F86" w:rsidRDefault="007C3F86" w:rsidP="007C3F86">
            <w:r>
              <w:rPr>
                <w:rFonts w:ascii="Arial" w:hAnsi="Arial" w:cs="Arial"/>
                <w:sz w:val="20"/>
                <w:szCs w:val="20"/>
              </w:rPr>
              <w:t>%/ year</w:t>
            </w:r>
          </w:p>
        </w:tc>
        <w:tc>
          <w:tcPr>
            <w:tcW w:w="1595" w:type="dxa"/>
          </w:tcPr>
          <w:p w:rsidR="007C3F86" w:rsidRDefault="007C3F86" w:rsidP="007C3F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&gt;=5</w:t>
            </w:r>
          </w:p>
        </w:tc>
        <w:tc>
          <w:tcPr>
            <w:tcW w:w="1596" w:type="dxa"/>
          </w:tcPr>
          <w:p w:rsidR="007C3F86" w:rsidRDefault="007C3F86" w:rsidP="007C3F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6" w:type="dxa"/>
          </w:tcPr>
          <w:p w:rsidR="007C3F86" w:rsidRDefault="007C3F86" w:rsidP="007C3F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120%</w:t>
            </w:r>
          </w:p>
        </w:tc>
      </w:tr>
      <w:tr w:rsidR="007C3F86" w:rsidTr="000D0FEB">
        <w:tc>
          <w:tcPr>
            <w:tcW w:w="472" w:type="dxa"/>
          </w:tcPr>
          <w:p w:rsidR="007C3F86" w:rsidRDefault="007C3F86" w:rsidP="007C3F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22" w:type="dxa"/>
          </w:tcPr>
          <w:p w:rsidR="007C3F86" w:rsidRDefault="007C3F86" w:rsidP="007C3F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income (person/ month)</w:t>
            </w:r>
          </w:p>
        </w:tc>
        <w:tc>
          <w:tcPr>
            <w:tcW w:w="1595" w:type="dxa"/>
          </w:tcPr>
          <w:p w:rsidR="007C3F86" w:rsidRDefault="007C3F86" w:rsidP="007C3F86">
            <w:r>
              <w:rPr>
                <w:rFonts w:ascii="Arial" w:hAnsi="Arial" w:cs="Arial"/>
                <w:sz w:val="20"/>
                <w:szCs w:val="20"/>
              </w:rPr>
              <w:t>VND m</w:t>
            </w:r>
            <w:r w:rsidRPr="00BD4C8A">
              <w:rPr>
                <w:rFonts w:ascii="Arial" w:hAnsi="Arial" w:cs="Arial"/>
                <w:sz w:val="20"/>
                <w:szCs w:val="20"/>
              </w:rPr>
              <w:t>illion</w:t>
            </w:r>
          </w:p>
        </w:tc>
        <w:tc>
          <w:tcPr>
            <w:tcW w:w="1595" w:type="dxa"/>
          </w:tcPr>
          <w:p w:rsidR="007C3F86" w:rsidRDefault="007C3F86" w:rsidP="007C3F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&gt;=7</w:t>
            </w:r>
          </w:p>
        </w:tc>
        <w:tc>
          <w:tcPr>
            <w:tcW w:w="1596" w:type="dxa"/>
          </w:tcPr>
          <w:p w:rsidR="007C3F86" w:rsidRDefault="007C3F86" w:rsidP="007C3F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11.88</w:t>
            </w:r>
          </w:p>
        </w:tc>
        <w:tc>
          <w:tcPr>
            <w:tcW w:w="1596" w:type="dxa"/>
          </w:tcPr>
          <w:p w:rsidR="007C3F86" w:rsidRDefault="007C3F86" w:rsidP="007C3F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169.7%</w:t>
            </w:r>
          </w:p>
        </w:tc>
      </w:tr>
    </w:tbl>
    <w:p w:rsidR="000D0FEB" w:rsidRDefault="000D0FE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142E" w:rsidRDefault="009D142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Operation plan for 2020</w:t>
      </w:r>
    </w:p>
    <w:p w:rsidR="009D142E" w:rsidRDefault="009D142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Investment value: VND 190 billion</w:t>
      </w:r>
    </w:p>
    <w:p w:rsidR="009D142E" w:rsidRDefault="009D142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Production and business value: VND 449.5 billion</w:t>
      </w:r>
    </w:p>
    <w:p w:rsidR="009D142E" w:rsidRDefault="009D142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Revenue: VND 300 billion</w:t>
      </w:r>
    </w:p>
    <w:p w:rsidR="009D142E" w:rsidRDefault="009D142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before tax: VND 15.75 billion</w:t>
      </w:r>
    </w:p>
    <w:p w:rsidR="009D142E" w:rsidRDefault="009D142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Contributing to the State's budget: &gt;= VND 25 billion</w:t>
      </w:r>
    </w:p>
    <w:p w:rsidR="009D142E" w:rsidRDefault="009D142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Owner's equity: &gt;= VND 206.708 billion</w:t>
      </w:r>
    </w:p>
    <w:p w:rsidR="009D142E" w:rsidRDefault="00E901B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Average income (workers of the Company) : &gt;= VND 10 million/ person/ month</w:t>
      </w:r>
    </w:p>
    <w:p w:rsidR="00E901B3" w:rsidRDefault="00E901B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Dividend payment: &gt;= 5%/ year</w:t>
      </w:r>
    </w:p>
    <w:p w:rsidR="00E901B3" w:rsidRDefault="00E901B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r w:rsidR="00833E90">
        <w:rPr>
          <w:rFonts w:ascii="Arial" w:hAnsi="Arial" w:cs="Arial"/>
          <w:sz w:val="20"/>
          <w:szCs w:val="20"/>
        </w:rPr>
        <w:t>Key tasks</w:t>
      </w:r>
    </w:p>
    <w:p w:rsidR="00833E90" w:rsidRDefault="00833E9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Specific tasks and solutions to realization in 2020</w:t>
      </w:r>
    </w:p>
    <w:p w:rsidR="00833E90" w:rsidRDefault="006B203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Results of realizing the operation indicators in 05 years (2015 – 2020)</w:t>
      </w:r>
    </w:p>
    <w:p w:rsidR="006B2038" w:rsidRDefault="006B203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Production and business value: VND 2,197.540 billion</w:t>
      </w:r>
    </w:p>
    <w:p w:rsidR="006B2038" w:rsidRDefault="006B203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Investment value: VND 888.510 billion</w:t>
      </w:r>
    </w:p>
    <w:p w:rsidR="006B2038" w:rsidRDefault="006B203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Revenue: VND 1,289.509 billion</w:t>
      </w:r>
    </w:p>
    <w:p w:rsidR="006B2038" w:rsidRDefault="006B203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before tax: VND 54.165 billion</w:t>
      </w:r>
    </w:p>
    <w:p w:rsidR="006B2038" w:rsidRDefault="006B203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Contributing to th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 State's budget: VND 270.277 billion</w:t>
      </w:r>
    </w:p>
    <w:p w:rsidR="006B2038" w:rsidRDefault="006B203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Owner's equity: VND 205.163 billion</w:t>
      </w:r>
    </w:p>
    <w:p w:rsidR="006B2038" w:rsidRDefault="006B203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03E62">
        <w:rPr>
          <w:rFonts w:ascii="Arial" w:hAnsi="Arial" w:cs="Arial"/>
          <w:sz w:val="20"/>
          <w:szCs w:val="20"/>
        </w:rPr>
        <w:t>Dividend payment</w:t>
      </w:r>
      <w:r>
        <w:rPr>
          <w:rFonts w:ascii="Arial" w:hAnsi="Arial" w:cs="Arial"/>
          <w:sz w:val="20"/>
          <w:szCs w:val="20"/>
        </w:rPr>
        <w:t xml:space="preserve"> (average 5 years): </w:t>
      </w:r>
      <w:r w:rsidR="00F33EAB">
        <w:rPr>
          <w:rFonts w:ascii="Arial" w:hAnsi="Arial" w:cs="Arial"/>
          <w:sz w:val="20"/>
          <w:szCs w:val="20"/>
        </w:rPr>
        <w:t>10.2%/ year</w:t>
      </w:r>
    </w:p>
    <w:p w:rsidR="00F33EAB" w:rsidRDefault="00F33E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Main indicators in period of 2020 – 2025</w:t>
      </w:r>
    </w:p>
    <w:p w:rsidR="00F33EAB" w:rsidRDefault="00F33E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Growth rate of indicators (production and business value, investment value, revenue, profit before tax, contributing to the State's budget, owner's equity…): from 5-8%/ year in period of 2015 – 2020</w:t>
      </w:r>
    </w:p>
    <w:p w:rsidR="00F33EAB" w:rsidRDefault="00F33E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Ensuring job for workers with average income of &gt;= VND 10,000,000/ month</w:t>
      </w:r>
    </w:p>
    <w:p w:rsidR="00F33EAB" w:rsidRDefault="00F33E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Dividend payment: &gt;= 5%/ year</w:t>
      </w:r>
    </w:p>
    <w:p w:rsidR="00F33EAB" w:rsidRDefault="00F33E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8E5220">
        <w:rPr>
          <w:rFonts w:ascii="Arial" w:hAnsi="Arial" w:cs="Arial"/>
          <w:sz w:val="20"/>
          <w:szCs w:val="20"/>
        </w:rPr>
        <w:t>Operation plan for period of 2020 – 2025</w:t>
      </w:r>
    </w:p>
    <w:p w:rsidR="008E5220" w:rsidRDefault="00E276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Approve the operation results of 2019 and term III (2015 – 2020); operation plan for 2020 and term IV (2020 – 2025) of the Board of Directors; in report No. 44/ BC – HDQT dated 14 May 2020 of the Board of Directors of the Company as follows:</w:t>
      </w:r>
    </w:p>
    <w:p w:rsidR="00E27643" w:rsidRDefault="00E276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Corporate rearrangement and renovation</w:t>
      </w:r>
    </w:p>
    <w:p w:rsidR="00E27643" w:rsidRDefault="00E276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3C6FDD">
        <w:rPr>
          <w:rFonts w:ascii="Arial" w:hAnsi="Arial" w:cs="Arial"/>
          <w:sz w:val="20"/>
          <w:szCs w:val="20"/>
        </w:rPr>
        <w:t>Labor and salary for workers in 2019</w:t>
      </w:r>
    </w:p>
    <w:p w:rsidR="003C6FDD" w:rsidRDefault="003C6FD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Total salary fund for workers in 2019: VND 6.486 billion; Welfare Reward Fund: VND 1.633 billion; average income in 2019: VND 11.88 million/ person/ month</w:t>
      </w:r>
    </w:p>
    <w:p w:rsidR="003C6FDD" w:rsidRDefault="003C6FD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Total salary fund for full-time managers in 2019: VND 1.845 billion</w:t>
      </w:r>
    </w:p>
    <w:p w:rsidR="003C6FDD" w:rsidRDefault="003C6FD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Welfare Reward Fund for full-time managers: VND 230 million</w:t>
      </w:r>
    </w:p>
    <w:p w:rsidR="003C6FDD" w:rsidRDefault="003C6FD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Average income in 2019: VND 28.83 million/ person/ month</w:t>
      </w:r>
    </w:p>
    <w:p w:rsidR="003C6FDD" w:rsidRDefault="00E0194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Remuneration payment and other payment for operation expense and other interests of the Board of Directors and members of the Board of Directors in 2019</w:t>
      </w:r>
    </w:p>
    <w:p w:rsidR="005E268B" w:rsidRDefault="0051159D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 w:rsidR="009F1909" w:rsidRPr="009F1909">
        <w:rPr>
          <w:rFonts w:ascii="Arial" w:hAnsi="Arial" w:cs="Arial"/>
          <w:sz w:val="20"/>
          <w:szCs w:val="20"/>
        </w:rPr>
        <w:t xml:space="preserve"> For members of the Board of Directors a</w:t>
      </w:r>
      <w:r>
        <w:rPr>
          <w:rFonts w:ascii="Arial" w:hAnsi="Arial" w:cs="Arial"/>
          <w:sz w:val="20"/>
          <w:szCs w:val="20"/>
        </w:rPr>
        <w:t>nd the Supervisory Board including</w:t>
      </w:r>
      <w:r w:rsidR="009F1909" w:rsidRPr="009F1909">
        <w:rPr>
          <w:rFonts w:ascii="Arial" w:hAnsi="Arial" w:cs="Arial"/>
          <w:sz w:val="20"/>
          <w:szCs w:val="20"/>
        </w:rPr>
        <w:t>: Mr. Le</w:t>
      </w:r>
      <w:r>
        <w:rPr>
          <w:rFonts w:ascii="Arial" w:hAnsi="Arial" w:cs="Arial"/>
          <w:sz w:val="20"/>
          <w:szCs w:val="20"/>
        </w:rPr>
        <w:t xml:space="preserve"> </w:t>
      </w:r>
      <w:r w:rsidR="009F1909" w:rsidRPr="009F1909">
        <w:rPr>
          <w:rFonts w:ascii="Arial" w:hAnsi="Arial" w:cs="Arial"/>
          <w:sz w:val="20"/>
          <w:szCs w:val="20"/>
        </w:rPr>
        <w:t>Quang Hiep (since June 2020 working on a full-time basis); Mr. Nguyen</w:t>
      </w:r>
      <w:r>
        <w:rPr>
          <w:rFonts w:ascii="Arial" w:hAnsi="Arial" w:cs="Arial"/>
          <w:sz w:val="20"/>
          <w:szCs w:val="20"/>
        </w:rPr>
        <w:t xml:space="preserve"> </w:t>
      </w:r>
      <w:r w:rsidR="009F1909" w:rsidRPr="009F1909">
        <w:rPr>
          <w:rFonts w:ascii="Arial" w:hAnsi="Arial" w:cs="Arial"/>
          <w:sz w:val="20"/>
          <w:szCs w:val="20"/>
        </w:rPr>
        <w:t>Viet Hung, Mr. Le Do Thang, Ms. Nguyen Thi Nhan, Ms. Nguyen Thi Thanh Thuy,</w:t>
      </w:r>
      <w:r w:rsidR="00E01828">
        <w:rPr>
          <w:rFonts w:ascii="Arial" w:hAnsi="Arial" w:cs="Arial"/>
          <w:sz w:val="20"/>
          <w:szCs w:val="20"/>
        </w:rPr>
        <w:t xml:space="preserve"> </w:t>
      </w:r>
      <w:r w:rsidR="009F1909" w:rsidRPr="009F1909">
        <w:rPr>
          <w:rFonts w:ascii="Arial" w:hAnsi="Arial" w:cs="Arial"/>
          <w:sz w:val="20"/>
          <w:szCs w:val="20"/>
        </w:rPr>
        <w:t>Ms. Nguyen Thi Hoa and Ms. Nguyen Thi Yen are directly involved in the management</w:t>
      </w:r>
      <w:r w:rsidR="00E01828">
        <w:rPr>
          <w:rFonts w:ascii="Arial" w:hAnsi="Arial" w:cs="Arial"/>
          <w:sz w:val="20"/>
          <w:szCs w:val="20"/>
        </w:rPr>
        <w:t xml:space="preserve"> so t</w:t>
      </w:r>
      <w:r w:rsidR="009F1909" w:rsidRPr="009F1909">
        <w:rPr>
          <w:rFonts w:ascii="Arial" w:hAnsi="Arial" w:cs="Arial"/>
          <w:sz w:val="20"/>
          <w:szCs w:val="20"/>
        </w:rPr>
        <w:t xml:space="preserve">he Company </w:t>
      </w:r>
      <w:r w:rsidR="003317D7">
        <w:rPr>
          <w:rFonts w:ascii="Arial" w:hAnsi="Arial" w:cs="Arial"/>
          <w:sz w:val="20"/>
          <w:szCs w:val="20"/>
        </w:rPr>
        <w:t>pays monthly salary</w:t>
      </w:r>
      <w:r w:rsidR="009F1909" w:rsidRPr="009F1909">
        <w:rPr>
          <w:rFonts w:ascii="Arial" w:hAnsi="Arial" w:cs="Arial"/>
          <w:sz w:val="20"/>
          <w:szCs w:val="20"/>
        </w:rPr>
        <w:t xml:space="preserve"> and other benefits in accorda</w:t>
      </w:r>
      <w:r w:rsidR="003317D7">
        <w:rPr>
          <w:rFonts w:ascii="Arial" w:hAnsi="Arial" w:cs="Arial"/>
          <w:sz w:val="20"/>
          <w:szCs w:val="20"/>
        </w:rPr>
        <w:t xml:space="preserve">nce with the general provisions, </w:t>
      </w:r>
      <w:r w:rsidR="005E268B">
        <w:rPr>
          <w:rFonts w:ascii="Arial" w:hAnsi="Arial" w:cs="Arial"/>
          <w:sz w:val="20"/>
          <w:szCs w:val="20"/>
        </w:rPr>
        <w:t xml:space="preserve">do </w:t>
      </w:r>
      <w:r w:rsidR="009F1909" w:rsidRPr="009F1909">
        <w:rPr>
          <w:rFonts w:ascii="Arial" w:hAnsi="Arial" w:cs="Arial"/>
          <w:sz w:val="20"/>
          <w:szCs w:val="20"/>
        </w:rPr>
        <w:t xml:space="preserve">not </w:t>
      </w:r>
      <w:r w:rsidR="005E268B">
        <w:rPr>
          <w:rFonts w:ascii="Arial" w:hAnsi="Arial" w:cs="Arial"/>
          <w:sz w:val="20"/>
          <w:szCs w:val="20"/>
        </w:rPr>
        <w:t>pay the</w:t>
      </w:r>
      <w:r w:rsidR="003317D7">
        <w:rPr>
          <w:rFonts w:ascii="Arial" w:hAnsi="Arial" w:cs="Arial"/>
          <w:sz w:val="20"/>
          <w:szCs w:val="20"/>
        </w:rPr>
        <w:t xml:space="preserve"> </w:t>
      </w:r>
      <w:r w:rsidR="005E268B">
        <w:rPr>
          <w:rFonts w:ascii="Arial" w:hAnsi="Arial" w:cs="Arial"/>
          <w:sz w:val="20"/>
          <w:szCs w:val="20"/>
        </w:rPr>
        <w:t>remuneration</w:t>
      </w:r>
    </w:p>
    <w:p w:rsidR="006719CD" w:rsidRDefault="005E268B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 w:rsidR="009F1909" w:rsidRPr="009F1909">
        <w:rPr>
          <w:rFonts w:ascii="Arial" w:hAnsi="Arial" w:cs="Arial"/>
          <w:sz w:val="20"/>
          <w:szCs w:val="20"/>
        </w:rPr>
        <w:t xml:space="preserve"> For members of the Board of Director</w:t>
      </w:r>
      <w:r>
        <w:rPr>
          <w:rFonts w:ascii="Arial" w:hAnsi="Arial" w:cs="Arial"/>
          <w:sz w:val="20"/>
          <w:szCs w:val="20"/>
        </w:rPr>
        <w:t>s, the Supervisory Board including</w:t>
      </w:r>
      <w:r w:rsidR="009F1909" w:rsidRPr="009F1909">
        <w:rPr>
          <w:rFonts w:ascii="Arial" w:hAnsi="Arial" w:cs="Arial"/>
          <w:sz w:val="20"/>
          <w:szCs w:val="20"/>
        </w:rPr>
        <w:t>: Mr. Le</w:t>
      </w:r>
      <w:r>
        <w:rPr>
          <w:rFonts w:ascii="Arial" w:hAnsi="Arial" w:cs="Arial"/>
          <w:sz w:val="20"/>
          <w:szCs w:val="20"/>
        </w:rPr>
        <w:t xml:space="preserve"> </w:t>
      </w:r>
      <w:r w:rsidR="009F1909" w:rsidRPr="009F1909">
        <w:rPr>
          <w:rFonts w:ascii="Arial" w:hAnsi="Arial" w:cs="Arial"/>
          <w:sz w:val="20"/>
          <w:szCs w:val="20"/>
        </w:rPr>
        <w:t xml:space="preserve">Quang Hiep, Chairman of the Board of Directors (for the first 5 months of 2019, working </w:t>
      </w:r>
      <w:r w:rsidR="006719CD">
        <w:rPr>
          <w:rFonts w:ascii="Arial" w:hAnsi="Arial" w:cs="Arial"/>
          <w:sz w:val="20"/>
          <w:szCs w:val="20"/>
        </w:rPr>
        <w:t>cum other position</w:t>
      </w:r>
      <w:r w:rsidR="009F1909" w:rsidRPr="009F1909">
        <w:rPr>
          <w:rFonts w:ascii="Arial" w:hAnsi="Arial" w:cs="Arial"/>
          <w:sz w:val="20"/>
          <w:szCs w:val="20"/>
        </w:rPr>
        <w:t>); Mr. Doan Van Thanh, Member of the Board of Directors; Ms. Le Thi</w:t>
      </w:r>
      <w:r w:rsidR="006719CD">
        <w:rPr>
          <w:rFonts w:ascii="Arial" w:hAnsi="Arial" w:cs="Arial"/>
          <w:sz w:val="20"/>
          <w:szCs w:val="20"/>
        </w:rPr>
        <w:t xml:space="preserve"> Mau, </w:t>
      </w:r>
      <w:r w:rsidR="009F1909" w:rsidRPr="009F1909">
        <w:rPr>
          <w:rFonts w:ascii="Arial" w:hAnsi="Arial" w:cs="Arial"/>
          <w:sz w:val="20"/>
          <w:szCs w:val="20"/>
        </w:rPr>
        <w:t xml:space="preserve"> member of the Supervisory Board (the first 4 months of 2019):</w:t>
      </w:r>
    </w:p>
    <w:p w:rsidR="001467B1" w:rsidRDefault="009F1909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909">
        <w:rPr>
          <w:rFonts w:ascii="Arial" w:hAnsi="Arial" w:cs="Arial"/>
          <w:sz w:val="20"/>
          <w:szCs w:val="20"/>
        </w:rPr>
        <w:t>- Based on the results of the mission completion in 2019, the actual operational situation</w:t>
      </w:r>
      <w:r w:rsidR="006719CD">
        <w:rPr>
          <w:rFonts w:ascii="Arial" w:hAnsi="Arial" w:cs="Arial"/>
          <w:sz w:val="20"/>
          <w:szCs w:val="20"/>
        </w:rPr>
        <w:t xml:space="preserve"> </w:t>
      </w:r>
      <w:r w:rsidRPr="009F1909">
        <w:rPr>
          <w:rFonts w:ascii="Arial" w:hAnsi="Arial" w:cs="Arial"/>
          <w:sz w:val="20"/>
          <w:szCs w:val="20"/>
        </w:rPr>
        <w:t xml:space="preserve">of the Company, </w:t>
      </w:r>
      <w:r w:rsidR="00DC5E0A">
        <w:rPr>
          <w:rFonts w:ascii="Arial" w:hAnsi="Arial" w:cs="Arial"/>
          <w:sz w:val="20"/>
          <w:szCs w:val="20"/>
        </w:rPr>
        <w:t>approve the average remuneration:</w:t>
      </w:r>
      <w:r w:rsidRPr="009F1909">
        <w:rPr>
          <w:rFonts w:ascii="Arial" w:hAnsi="Arial" w:cs="Arial"/>
          <w:sz w:val="20"/>
          <w:szCs w:val="20"/>
        </w:rPr>
        <w:t xml:space="preserve"> 14%</w:t>
      </w:r>
      <w:r w:rsidR="00DC5E0A">
        <w:rPr>
          <w:rFonts w:ascii="Arial" w:hAnsi="Arial" w:cs="Arial"/>
          <w:sz w:val="20"/>
          <w:szCs w:val="20"/>
        </w:rPr>
        <w:t xml:space="preserve"> of </w:t>
      </w:r>
      <w:r w:rsidRPr="009F1909">
        <w:rPr>
          <w:rFonts w:ascii="Arial" w:hAnsi="Arial" w:cs="Arial"/>
          <w:sz w:val="20"/>
          <w:szCs w:val="20"/>
        </w:rPr>
        <w:t xml:space="preserve">the average salary of managers; Therefore, the total </w:t>
      </w:r>
      <w:r w:rsidR="00DC5E0A">
        <w:rPr>
          <w:rFonts w:ascii="Arial" w:hAnsi="Arial" w:cs="Arial"/>
          <w:sz w:val="20"/>
          <w:szCs w:val="20"/>
        </w:rPr>
        <w:t>remuneration</w:t>
      </w:r>
      <w:r w:rsidRPr="009F1909">
        <w:rPr>
          <w:rFonts w:ascii="Arial" w:hAnsi="Arial" w:cs="Arial"/>
          <w:sz w:val="20"/>
          <w:szCs w:val="20"/>
        </w:rPr>
        <w:t xml:space="preserve"> paid to 03</w:t>
      </w:r>
      <w:r w:rsidR="00DC5E0A">
        <w:rPr>
          <w:rFonts w:ascii="Arial" w:hAnsi="Arial" w:cs="Arial"/>
          <w:sz w:val="20"/>
          <w:szCs w:val="20"/>
        </w:rPr>
        <w:t xml:space="preserve"> p</w:t>
      </w:r>
      <w:r w:rsidRPr="009F1909">
        <w:rPr>
          <w:rFonts w:ascii="Arial" w:hAnsi="Arial" w:cs="Arial"/>
          <w:sz w:val="20"/>
          <w:szCs w:val="20"/>
        </w:rPr>
        <w:t>art-time members = (01 person x 5 months + 1 person x 12 months + 1</w:t>
      </w:r>
      <w:r w:rsidR="001467B1">
        <w:rPr>
          <w:rFonts w:ascii="Arial" w:hAnsi="Arial" w:cs="Arial"/>
          <w:sz w:val="20"/>
          <w:szCs w:val="20"/>
        </w:rPr>
        <w:t xml:space="preserve"> </w:t>
      </w:r>
      <w:r w:rsidRPr="009F1909">
        <w:rPr>
          <w:rFonts w:ascii="Arial" w:hAnsi="Arial" w:cs="Arial"/>
          <w:sz w:val="20"/>
          <w:szCs w:val="20"/>
        </w:rPr>
        <w:t>person x 4 months) x 28.83 million x 14% = VND 83</w:t>
      </w:r>
      <w:r w:rsidR="001467B1">
        <w:rPr>
          <w:rFonts w:ascii="Arial" w:hAnsi="Arial" w:cs="Arial"/>
          <w:sz w:val="20"/>
          <w:szCs w:val="20"/>
        </w:rPr>
        <w:t>.</w:t>
      </w:r>
      <w:r w:rsidRPr="009F1909">
        <w:rPr>
          <w:rFonts w:ascii="Arial" w:hAnsi="Arial" w:cs="Arial"/>
          <w:sz w:val="20"/>
          <w:szCs w:val="20"/>
        </w:rPr>
        <w:t>202 million. The spending level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2153"/>
        <w:gridCol w:w="1355"/>
        <w:gridCol w:w="1346"/>
        <w:gridCol w:w="1528"/>
        <w:gridCol w:w="1450"/>
        <w:gridCol w:w="1271"/>
      </w:tblGrid>
      <w:tr w:rsidR="00551D12" w:rsidTr="001467B1">
        <w:tc>
          <w:tcPr>
            <w:tcW w:w="378" w:type="dxa"/>
          </w:tcPr>
          <w:p w:rsidR="001467B1" w:rsidRDefault="001467B1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58" w:type="dxa"/>
          </w:tcPr>
          <w:p w:rsidR="001467B1" w:rsidRDefault="001467B1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368" w:type="dxa"/>
          </w:tcPr>
          <w:p w:rsidR="001467B1" w:rsidRDefault="001467B1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Board of Directors and Supervisory Board cum other </w:t>
            </w:r>
            <w:r w:rsidR="00551D12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368" w:type="dxa"/>
          </w:tcPr>
          <w:p w:rsidR="001467B1" w:rsidRDefault="00551D12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Concurrent time</w:t>
            </w:r>
          </w:p>
        </w:tc>
        <w:tc>
          <w:tcPr>
            <w:tcW w:w="1368" w:type="dxa"/>
          </w:tcPr>
          <w:p w:rsidR="001467B1" w:rsidRDefault="00551D12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Remuneration/ month (VND)</w:t>
            </w:r>
          </w:p>
        </w:tc>
        <w:tc>
          <w:tcPr>
            <w:tcW w:w="1368" w:type="dxa"/>
          </w:tcPr>
          <w:p w:rsidR="001467B1" w:rsidRDefault="00551D12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remuneration/ year (VND)</w:t>
            </w:r>
          </w:p>
        </w:tc>
        <w:tc>
          <w:tcPr>
            <w:tcW w:w="1368" w:type="dxa"/>
          </w:tcPr>
          <w:p w:rsidR="001467B1" w:rsidRDefault="00551D12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551D12" w:rsidTr="001467B1">
        <w:tc>
          <w:tcPr>
            <w:tcW w:w="378" w:type="dxa"/>
          </w:tcPr>
          <w:p w:rsidR="001467B1" w:rsidRDefault="00551D12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8" w:type="dxa"/>
          </w:tcPr>
          <w:p w:rsidR="001467B1" w:rsidRDefault="00551D12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Quang Hiep</w:t>
            </w:r>
          </w:p>
        </w:tc>
        <w:tc>
          <w:tcPr>
            <w:tcW w:w="1368" w:type="dxa"/>
          </w:tcPr>
          <w:p w:rsidR="001467B1" w:rsidRDefault="00A3371B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the Board of Directors </w:t>
            </w:r>
          </w:p>
        </w:tc>
        <w:tc>
          <w:tcPr>
            <w:tcW w:w="1368" w:type="dxa"/>
          </w:tcPr>
          <w:p w:rsidR="001467B1" w:rsidRDefault="00A3371B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months</w:t>
            </w:r>
          </w:p>
        </w:tc>
        <w:tc>
          <w:tcPr>
            <w:tcW w:w="1368" w:type="dxa"/>
          </w:tcPr>
          <w:p w:rsidR="001467B1" w:rsidRDefault="00A3371B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6,000,000</w:t>
            </w:r>
          </w:p>
        </w:tc>
        <w:tc>
          <w:tcPr>
            <w:tcW w:w="1368" w:type="dxa"/>
          </w:tcPr>
          <w:p w:rsidR="001467B1" w:rsidRDefault="00A3371B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30,000,000</w:t>
            </w:r>
          </w:p>
        </w:tc>
        <w:tc>
          <w:tcPr>
            <w:tcW w:w="1368" w:type="dxa"/>
          </w:tcPr>
          <w:p w:rsidR="001467B1" w:rsidRDefault="001467B1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D12" w:rsidTr="001467B1">
        <w:tc>
          <w:tcPr>
            <w:tcW w:w="378" w:type="dxa"/>
          </w:tcPr>
          <w:p w:rsidR="001467B1" w:rsidRDefault="00551D12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58" w:type="dxa"/>
          </w:tcPr>
          <w:p w:rsidR="001467B1" w:rsidRDefault="00551D12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Doan Van Thanh</w:t>
            </w:r>
          </w:p>
        </w:tc>
        <w:tc>
          <w:tcPr>
            <w:tcW w:w="1368" w:type="dxa"/>
          </w:tcPr>
          <w:p w:rsidR="001467B1" w:rsidRDefault="00A3371B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Board of Directors </w:t>
            </w:r>
          </w:p>
        </w:tc>
        <w:tc>
          <w:tcPr>
            <w:tcW w:w="1368" w:type="dxa"/>
          </w:tcPr>
          <w:p w:rsidR="001467B1" w:rsidRDefault="00A3371B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months</w:t>
            </w:r>
          </w:p>
        </w:tc>
        <w:tc>
          <w:tcPr>
            <w:tcW w:w="1368" w:type="dxa"/>
          </w:tcPr>
          <w:p w:rsidR="001467B1" w:rsidRDefault="00A3371B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4,000,000</w:t>
            </w:r>
          </w:p>
        </w:tc>
        <w:tc>
          <w:tcPr>
            <w:tcW w:w="1368" w:type="dxa"/>
          </w:tcPr>
          <w:p w:rsidR="001467B1" w:rsidRDefault="00A3371B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48,000,000</w:t>
            </w:r>
          </w:p>
        </w:tc>
        <w:tc>
          <w:tcPr>
            <w:tcW w:w="1368" w:type="dxa"/>
          </w:tcPr>
          <w:p w:rsidR="001467B1" w:rsidRDefault="001467B1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D12" w:rsidTr="001467B1">
        <w:tc>
          <w:tcPr>
            <w:tcW w:w="378" w:type="dxa"/>
          </w:tcPr>
          <w:p w:rsidR="001467B1" w:rsidRDefault="00551D12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1467B1" w:rsidRDefault="00551D12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Thi Mau</w:t>
            </w:r>
          </w:p>
        </w:tc>
        <w:tc>
          <w:tcPr>
            <w:tcW w:w="1368" w:type="dxa"/>
          </w:tcPr>
          <w:p w:rsidR="001467B1" w:rsidRDefault="00A3371B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Supervisory Board </w:t>
            </w:r>
          </w:p>
        </w:tc>
        <w:tc>
          <w:tcPr>
            <w:tcW w:w="1368" w:type="dxa"/>
          </w:tcPr>
          <w:p w:rsidR="001467B1" w:rsidRDefault="00A3371B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months</w:t>
            </w:r>
          </w:p>
        </w:tc>
        <w:tc>
          <w:tcPr>
            <w:tcW w:w="1368" w:type="dxa"/>
          </w:tcPr>
          <w:p w:rsidR="001467B1" w:rsidRDefault="00A3371B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1,000,000</w:t>
            </w:r>
          </w:p>
        </w:tc>
        <w:tc>
          <w:tcPr>
            <w:tcW w:w="1368" w:type="dxa"/>
          </w:tcPr>
          <w:p w:rsidR="001467B1" w:rsidRDefault="00A3371B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4,000,000</w:t>
            </w:r>
          </w:p>
        </w:tc>
        <w:tc>
          <w:tcPr>
            <w:tcW w:w="1368" w:type="dxa"/>
          </w:tcPr>
          <w:p w:rsidR="001467B1" w:rsidRDefault="001467B1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D12" w:rsidTr="001467B1">
        <w:tc>
          <w:tcPr>
            <w:tcW w:w="378" w:type="dxa"/>
          </w:tcPr>
          <w:p w:rsidR="001467B1" w:rsidRDefault="001467B1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1467B1" w:rsidRDefault="00551D12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368" w:type="dxa"/>
          </w:tcPr>
          <w:p w:rsidR="001467B1" w:rsidRDefault="001467B1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1467B1" w:rsidRDefault="001467B1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1467B1" w:rsidRDefault="001467B1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1467B1" w:rsidRDefault="00A3371B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82,000,000</w:t>
            </w:r>
          </w:p>
        </w:tc>
        <w:tc>
          <w:tcPr>
            <w:tcW w:w="1368" w:type="dxa"/>
          </w:tcPr>
          <w:p w:rsidR="001467B1" w:rsidRDefault="001467B1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67B1" w:rsidRDefault="001467B1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55FA" w:rsidRDefault="007655FA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9F1909" w:rsidRPr="009F1909">
        <w:rPr>
          <w:rFonts w:ascii="Arial" w:hAnsi="Arial" w:cs="Arial"/>
          <w:sz w:val="20"/>
          <w:szCs w:val="20"/>
        </w:rPr>
        <w:t xml:space="preserve">The implementation of profit distribution and </w:t>
      </w:r>
      <w:r>
        <w:rPr>
          <w:rFonts w:ascii="Arial" w:hAnsi="Arial" w:cs="Arial"/>
          <w:sz w:val="20"/>
          <w:szCs w:val="20"/>
        </w:rPr>
        <w:t>extraction to the</w:t>
      </w:r>
      <w:r w:rsidR="009F1909" w:rsidRPr="009F1909">
        <w:rPr>
          <w:rFonts w:ascii="Arial" w:hAnsi="Arial" w:cs="Arial"/>
          <w:sz w:val="20"/>
          <w:szCs w:val="20"/>
        </w:rPr>
        <w:t xml:space="preserve"> funds in 2019</w:t>
      </w:r>
    </w:p>
    <w:p w:rsidR="007C7D8E" w:rsidRDefault="007655FA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Undistributed profit</w:t>
      </w:r>
      <w:r w:rsidR="009F1909" w:rsidRPr="009F19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 w:rsidR="009F1909" w:rsidRPr="009F1909">
        <w:rPr>
          <w:rFonts w:ascii="Arial" w:hAnsi="Arial" w:cs="Arial"/>
          <w:sz w:val="20"/>
          <w:szCs w:val="20"/>
        </w:rPr>
        <w:t xml:space="preserve"> 31 December </w:t>
      </w:r>
      <w:r>
        <w:rPr>
          <w:rFonts w:ascii="Arial" w:hAnsi="Arial" w:cs="Arial"/>
          <w:sz w:val="20"/>
          <w:szCs w:val="20"/>
        </w:rPr>
        <w:t>2019 in the financial statement of 2019: VND 11,784,512,337 (in which: undistributed profit</w:t>
      </w:r>
      <w:r w:rsidR="009F1909" w:rsidRPr="009F1909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t</w:t>
      </w:r>
      <w:r w:rsidR="009F1909" w:rsidRPr="009F1909">
        <w:rPr>
          <w:rFonts w:ascii="Arial" w:hAnsi="Arial" w:cs="Arial"/>
          <w:sz w:val="20"/>
          <w:szCs w:val="20"/>
        </w:rPr>
        <w:t>he previous year</w:t>
      </w:r>
      <w:r w:rsidR="007C7D8E">
        <w:rPr>
          <w:rFonts w:ascii="Arial" w:hAnsi="Arial" w:cs="Arial"/>
          <w:sz w:val="20"/>
          <w:szCs w:val="20"/>
        </w:rPr>
        <w:t>s</w:t>
      </w:r>
      <w:r w:rsidR="009F1909" w:rsidRPr="009F1909">
        <w:rPr>
          <w:rFonts w:ascii="Arial" w:hAnsi="Arial" w:cs="Arial"/>
          <w:sz w:val="20"/>
          <w:szCs w:val="20"/>
        </w:rPr>
        <w:t xml:space="preserve">: </w:t>
      </w:r>
      <w:r w:rsidR="007C7D8E" w:rsidRPr="009F1909">
        <w:rPr>
          <w:rFonts w:ascii="Arial" w:hAnsi="Arial" w:cs="Arial"/>
          <w:sz w:val="20"/>
          <w:szCs w:val="20"/>
        </w:rPr>
        <w:t xml:space="preserve">VND </w:t>
      </w:r>
      <w:r w:rsidR="009F1909" w:rsidRPr="009F1909">
        <w:rPr>
          <w:rFonts w:ascii="Arial" w:hAnsi="Arial" w:cs="Arial"/>
          <w:sz w:val="20"/>
          <w:szCs w:val="20"/>
        </w:rPr>
        <w:t>-252,055,254;</w:t>
      </w:r>
      <w:r w:rsidR="007C7D8E">
        <w:rPr>
          <w:rFonts w:ascii="Arial" w:hAnsi="Arial" w:cs="Arial"/>
          <w:sz w:val="20"/>
          <w:szCs w:val="20"/>
        </w:rPr>
        <w:t xml:space="preserve"> Undistributed profit in 2019</w:t>
      </w:r>
      <w:r w:rsidR="009F1909" w:rsidRPr="009F1909">
        <w:rPr>
          <w:rFonts w:ascii="Arial" w:hAnsi="Arial" w:cs="Arial"/>
          <w:sz w:val="20"/>
          <w:szCs w:val="20"/>
        </w:rPr>
        <w:t>:</w:t>
      </w:r>
      <w:r w:rsidR="007C7D8E">
        <w:rPr>
          <w:rFonts w:ascii="Arial" w:hAnsi="Arial" w:cs="Arial"/>
          <w:sz w:val="20"/>
          <w:szCs w:val="20"/>
        </w:rPr>
        <w:t xml:space="preserve"> </w:t>
      </w:r>
      <w:r w:rsidR="007C7D8E" w:rsidRPr="009F1909">
        <w:rPr>
          <w:rFonts w:ascii="Arial" w:hAnsi="Arial" w:cs="Arial"/>
          <w:sz w:val="20"/>
          <w:szCs w:val="20"/>
        </w:rPr>
        <w:t xml:space="preserve">VND </w:t>
      </w:r>
      <w:r w:rsidR="009F1909" w:rsidRPr="009F1909">
        <w:rPr>
          <w:rFonts w:ascii="Arial" w:hAnsi="Arial" w:cs="Arial"/>
          <w:sz w:val="20"/>
          <w:szCs w:val="20"/>
        </w:rPr>
        <w:t>12,036,567,591</w:t>
      </w:r>
    </w:p>
    <w:p w:rsidR="00943148" w:rsidRDefault="009F1909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909">
        <w:rPr>
          <w:rFonts w:ascii="Arial" w:hAnsi="Arial" w:cs="Arial"/>
          <w:sz w:val="20"/>
          <w:szCs w:val="20"/>
        </w:rPr>
        <w:t>4.2. The Company's Board of Di</w:t>
      </w:r>
      <w:r w:rsidR="00943148">
        <w:rPr>
          <w:rFonts w:ascii="Arial" w:hAnsi="Arial" w:cs="Arial"/>
          <w:sz w:val="20"/>
          <w:szCs w:val="20"/>
        </w:rPr>
        <w:t>rectors intends to pay dividend</w:t>
      </w:r>
      <w:r w:rsidRPr="009F1909">
        <w:rPr>
          <w:rFonts w:ascii="Arial" w:hAnsi="Arial" w:cs="Arial"/>
          <w:sz w:val="20"/>
          <w:szCs w:val="20"/>
        </w:rPr>
        <w:t xml:space="preserve"> and distribution plan</w:t>
      </w:r>
      <w:r w:rsidR="00943148">
        <w:rPr>
          <w:rFonts w:ascii="Arial" w:hAnsi="Arial" w:cs="Arial"/>
          <w:sz w:val="20"/>
          <w:szCs w:val="20"/>
        </w:rPr>
        <w:t xml:space="preserve"> for </w:t>
      </w:r>
      <w:r w:rsidRPr="009F1909">
        <w:rPr>
          <w:rFonts w:ascii="Arial" w:hAnsi="Arial" w:cs="Arial"/>
          <w:sz w:val="20"/>
          <w:szCs w:val="20"/>
        </w:rPr>
        <w:t>2019 as follows:</w:t>
      </w:r>
    </w:p>
    <w:p w:rsidR="00943148" w:rsidRDefault="009F1909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909">
        <w:rPr>
          <w:rFonts w:ascii="Arial" w:hAnsi="Arial" w:cs="Arial"/>
          <w:sz w:val="20"/>
          <w:szCs w:val="20"/>
        </w:rPr>
        <w:t>- A</w:t>
      </w:r>
      <w:r w:rsidR="00943148">
        <w:rPr>
          <w:rFonts w:ascii="Arial" w:hAnsi="Arial" w:cs="Arial"/>
          <w:sz w:val="20"/>
          <w:szCs w:val="20"/>
        </w:rPr>
        <w:t>ccumulated undistributed profit</w:t>
      </w:r>
      <w:r w:rsidRPr="009F1909">
        <w:rPr>
          <w:rFonts w:ascii="Arial" w:hAnsi="Arial" w:cs="Arial"/>
          <w:sz w:val="20"/>
          <w:szCs w:val="20"/>
        </w:rPr>
        <w:t xml:space="preserve"> until December 31, 2019:</w:t>
      </w:r>
      <w:r w:rsidR="00943148">
        <w:rPr>
          <w:rFonts w:ascii="Arial" w:hAnsi="Arial" w:cs="Arial"/>
          <w:sz w:val="20"/>
          <w:szCs w:val="20"/>
        </w:rPr>
        <w:t xml:space="preserve"> </w:t>
      </w:r>
      <w:r w:rsidR="00943148" w:rsidRPr="009F1909">
        <w:rPr>
          <w:rFonts w:ascii="Arial" w:hAnsi="Arial" w:cs="Arial"/>
          <w:sz w:val="20"/>
          <w:szCs w:val="20"/>
        </w:rPr>
        <w:t xml:space="preserve">VND </w:t>
      </w:r>
      <w:r w:rsidRPr="009F1909">
        <w:rPr>
          <w:rFonts w:ascii="Arial" w:hAnsi="Arial" w:cs="Arial"/>
          <w:sz w:val="20"/>
          <w:szCs w:val="20"/>
        </w:rPr>
        <w:t>11,784,512,337</w:t>
      </w:r>
    </w:p>
    <w:p w:rsidR="00A30AD8" w:rsidRDefault="009F1909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909">
        <w:rPr>
          <w:rFonts w:ascii="Arial" w:hAnsi="Arial" w:cs="Arial"/>
          <w:sz w:val="20"/>
          <w:szCs w:val="20"/>
        </w:rPr>
        <w:t>- Total profit after tax distributed:</w:t>
      </w:r>
      <w:r w:rsidR="00A30AD8">
        <w:rPr>
          <w:rFonts w:ascii="Arial" w:hAnsi="Arial" w:cs="Arial"/>
          <w:sz w:val="20"/>
          <w:szCs w:val="20"/>
        </w:rPr>
        <w:t xml:space="preserve"> VND </w:t>
      </w:r>
      <w:r w:rsidRPr="009F1909">
        <w:rPr>
          <w:rFonts w:ascii="Arial" w:hAnsi="Arial" w:cs="Arial"/>
          <w:sz w:val="20"/>
          <w:szCs w:val="20"/>
        </w:rPr>
        <w:t xml:space="preserve">11,784,512,337 </w:t>
      </w:r>
    </w:p>
    <w:p w:rsidR="00A30AD8" w:rsidRDefault="009F1909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909">
        <w:rPr>
          <w:rFonts w:ascii="Arial" w:hAnsi="Arial" w:cs="Arial"/>
          <w:sz w:val="20"/>
          <w:szCs w:val="20"/>
        </w:rPr>
        <w:t>+ Remaining after-tax profit of the previous year:</w:t>
      </w:r>
      <w:r w:rsidR="00A30AD8">
        <w:rPr>
          <w:rFonts w:ascii="Arial" w:hAnsi="Arial" w:cs="Arial"/>
          <w:sz w:val="20"/>
          <w:szCs w:val="20"/>
        </w:rPr>
        <w:t xml:space="preserve"> VND </w:t>
      </w:r>
      <w:r w:rsidRPr="009F1909">
        <w:rPr>
          <w:rFonts w:ascii="Arial" w:hAnsi="Arial" w:cs="Arial"/>
          <w:sz w:val="20"/>
          <w:szCs w:val="20"/>
        </w:rPr>
        <w:t xml:space="preserve">0 </w:t>
      </w:r>
    </w:p>
    <w:p w:rsidR="00602752" w:rsidRDefault="009F1909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909">
        <w:rPr>
          <w:rFonts w:ascii="Arial" w:hAnsi="Arial" w:cs="Arial"/>
          <w:sz w:val="20"/>
          <w:szCs w:val="20"/>
        </w:rPr>
        <w:t xml:space="preserve">+ Profit in 2018 decreased </w:t>
      </w:r>
      <w:r w:rsidR="00602752">
        <w:rPr>
          <w:rFonts w:ascii="Arial" w:hAnsi="Arial" w:cs="Arial"/>
          <w:sz w:val="20"/>
          <w:szCs w:val="20"/>
        </w:rPr>
        <w:t>after auditing: VND (252,055,254)</w:t>
      </w:r>
    </w:p>
    <w:p w:rsidR="00602752" w:rsidRDefault="009F1909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909">
        <w:rPr>
          <w:rFonts w:ascii="Arial" w:hAnsi="Arial" w:cs="Arial"/>
          <w:sz w:val="20"/>
          <w:szCs w:val="20"/>
        </w:rPr>
        <w:t>+ Profit after tax this year (2019):</w:t>
      </w:r>
      <w:r w:rsidR="00602752">
        <w:rPr>
          <w:rFonts w:ascii="Arial" w:hAnsi="Arial" w:cs="Arial"/>
          <w:sz w:val="20"/>
          <w:szCs w:val="20"/>
        </w:rPr>
        <w:t xml:space="preserve"> VND </w:t>
      </w:r>
      <w:r w:rsidRPr="009F1909">
        <w:rPr>
          <w:rFonts w:ascii="Arial" w:hAnsi="Arial" w:cs="Arial"/>
          <w:sz w:val="20"/>
          <w:szCs w:val="20"/>
        </w:rPr>
        <w:t xml:space="preserve">12,036,567,591 </w:t>
      </w:r>
    </w:p>
    <w:p w:rsidR="00602752" w:rsidRDefault="009F1909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909">
        <w:rPr>
          <w:rFonts w:ascii="Arial" w:hAnsi="Arial" w:cs="Arial"/>
          <w:sz w:val="20"/>
          <w:szCs w:val="20"/>
        </w:rPr>
        <w:t>The distribution plan is as follows:</w:t>
      </w:r>
    </w:p>
    <w:p w:rsidR="002E2CAD" w:rsidRDefault="009F1909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909">
        <w:rPr>
          <w:rFonts w:ascii="Arial" w:hAnsi="Arial" w:cs="Arial"/>
          <w:sz w:val="20"/>
          <w:szCs w:val="20"/>
        </w:rPr>
        <w:t xml:space="preserve">- </w:t>
      </w:r>
      <w:r w:rsidR="002E2CAD">
        <w:rPr>
          <w:rFonts w:ascii="Arial" w:hAnsi="Arial" w:cs="Arial"/>
          <w:sz w:val="20"/>
          <w:szCs w:val="20"/>
        </w:rPr>
        <w:t>Extraction to</w:t>
      </w:r>
      <w:r w:rsidRPr="009F1909">
        <w:rPr>
          <w:rFonts w:ascii="Arial" w:hAnsi="Arial" w:cs="Arial"/>
          <w:sz w:val="20"/>
          <w:szCs w:val="20"/>
        </w:rPr>
        <w:t xml:space="preserve"> the reward and welfare fund:</w:t>
      </w:r>
      <w:r w:rsidR="002E2CAD" w:rsidRPr="002E2CAD">
        <w:rPr>
          <w:rFonts w:ascii="Arial" w:hAnsi="Arial" w:cs="Arial"/>
          <w:sz w:val="20"/>
          <w:szCs w:val="20"/>
        </w:rPr>
        <w:t xml:space="preserve"> </w:t>
      </w:r>
      <w:r w:rsidR="002E2CAD" w:rsidRPr="009F1909">
        <w:rPr>
          <w:rFonts w:ascii="Arial" w:hAnsi="Arial" w:cs="Arial"/>
          <w:sz w:val="20"/>
          <w:szCs w:val="20"/>
        </w:rPr>
        <w:t xml:space="preserve">VND </w:t>
      </w:r>
      <w:r w:rsidRPr="009F1909">
        <w:rPr>
          <w:rFonts w:ascii="Arial" w:hAnsi="Arial" w:cs="Arial"/>
          <w:sz w:val="20"/>
          <w:szCs w:val="20"/>
        </w:rPr>
        <w:t>1,630,000,000</w:t>
      </w:r>
    </w:p>
    <w:p w:rsidR="002E2CAD" w:rsidRDefault="009F1909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909">
        <w:rPr>
          <w:rFonts w:ascii="Arial" w:hAnsi="Arial" w:cs="Arial"/>
          <w:sz w:val="20"/>
          <w:szCs w:val="20"/>
        </w:rPr>
        <w:t xml:space="preserve">- </w:t>
      </w:r>
      <w:r w:rsidR="002E2CAD">
        <w:rPr>
          <w:rFonts w:ascii="Arial" w:hAnsi="Arial" w:cs="Arial"/>
          <w:sz w:val="20"/>
          <w:szCs w:val="20"/>
        </w:rPr>
        <w:t>Extraction to the</w:t>
      </w:r>
      <w:r w:rsidRPr="009F1909">
        <w:rPr>
          <w:rFonts w:ascii="Arial" w:hAnsi="Arial" w:cs="Arial"/>
          <w:sz w:val="20"/>
          <w:szCs w:val="20"/>
        </w:rPr>
        <w:t xml:space="preserve"> reward fund </w:t>
      </w:r>
      <w:r w:rsidR="002E2CAD">
        <w:rPr>
          <w:rFonts w:ascii="Arial" w:hAnsi="Arial" w:cs="Arial"/>
          <w:sz w:val="20"/>
          <w:szCs w:val="20"/>
        </w:rPr>
        <w:t>to the Management Board</w:t>
      </w:r>
      <w:r w:rsidRPr="009F1909">
        <w:rPr>
          <w:rFonts w:ascii="Arial" w:hAnsi="Arial" w:cs="Arial"/>
          <w:sz w:val="20"/>
          <w:szCs w:val="20"/>
        </w:rPr>
        <w:t>:</w:t>
      </w:r>
      <w:r w:rsidR="002E2CAD">
        <w:rPr>
          <w:rFonts w:ascii="Arial" w:hAnsi="Arial" w:cs="Arial"/>
          <w:sz w:val="20"/>
          <w:szCs w:val="20"/>
        </w:rPr>
        <w:t xml:space="preserve"> VND 230,000,000</w:t>
      </w:r>
    </w:p>
    <w:p w:rsidR="00BE1EFD" w:rsidRDefault="009F1909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909">
        <w:rPr>
          <w:rFonts w:ascii="Arial" w:hAnsi="Arial" w:cs="Arial"/>
          <w:sz w:val="20"/>
          <w:szCs w:val="20"/>
        </w:rPr>
        <w:t>- Cash dividend payment (6% of charter capital):</w:t>
      </w:r>
      <w:r w:rsidR="00BE1EFD">
        <w:rPr>
          <w:rFonts w:ascii="Arial" w:hAnsi="Arial" w:cs="Arial"/>
          <w:sz w:val="20"/>
          <w:szCs w:val="20"/>
        </w:rPr>
        <w:t xml:space="preserve"> VND </w:t>
      </w:r>
      <w:r w:rsidRPr="009F1909">
        <w:rPr>
          <w:rFonts w:ascii="Arial" w:hAnsi="Arial" w:cs="Arial"/>
          <w:sz w:val="20"/>
          <w:szCs w:val="20"/>
        </w:rPr>
        <w:t>9,000,000,000 VND</w:t>
      </w:r>
    </w:p>
    <w:p w:rsidR="00BE1EFD" w:rsidRDefault="00BE1EFD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F1909" w:rsidRPr="009F1909">
        <w:rPr>
          <w:rFonts w:ascii="Arial" w:hAnsi="Arial" w:cs="Arial"/>
          <w:sz w:val="20"/>
          <w:szCs w:val="20"/>
        </w:rPr>
        <w:t xml:space="preserve"> Remuneration for </w:t>
      </w:r>
      <w:r>
        <w:rPr>
          <w:rFonts w:ascii="Arial" w:hAnsi="Arial" w:cs="Arial"/>
          <w:sz w:val="20"/>
          <w:szCs w:val="20"/>
        </w:rPr>
        <w:t xml:space="preserve">part-time members of </w:t>
      </w:r>
      <w:r w:rsidR="009F1909" w:rsidRPr="009F1909">
        <w:rPr>
          <w:rFonts w:ascii="Arial" w:hAnsi="Arial" w:cs="Arial"/>
          <w:sz w:val="20"/>
          <w:szCs w:val="20"/>
        </w:rPr>
        <w:t>the Board of Directors and the Supervisory Board:</w:t>
      </w:r>
      <w:r>
        <w:rPr>
          <w:rFonts w:ascii="Arial" w:hAnsi="Arial" w:cs="Arial"/>
          <w:sz w:val="20"/>
          <w:szCs w:val="20"/>
        </w:rPr>
        <w:t xml:space="preserve"> VND 82,000,000</w:t>
      </w:r>
    </w:p>
    <w:p w:rsidR="00BE1EFD" w:rsidRDefault="009F1909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909">
        <w:rPr>
          <w:rFonts w:ascii="Arial" w:hAnsi="Arial" w:cs="Arial"/>
          <w:sz w:val="20"/>
          <w:szCs w:val="20"/>
        </w:rPr>
        <w:t>- Retained after-tax profit:</w:t>
      </w:r>
      <w:r w:rsidR="00BE1EFD">
        <w:rPr>
          <w:rFonts w:ascii="Arial" w:hAnsi="Arial" w:cs="Arial"/>
          <w:sz w:val="20"/>
          <w:szCs w:val="20"/>
        </w:rPr>
        <w:t xml:space="preserve"> </w:t>
      </w:r>
      <w:r w:rsidR="00BE1EFD" w:rsidRPr="009F1909">
        <w:rPr>
          <w:rFonts w:ascii="Arial" w:hAnsi="Arial" w:cs="Arial"/>
          <w:sz w:val="20"/>
          <w:szCs w:val="20"/>
        </w:rPr>
        <w:t xml:space="preserve">VND </w:t>
      </w:r>
      <w:r w:rsidRPr="009F1909">
        <w:rPr>
          <w:rFonts w:ascii="Arial" w:hAnsi="Arial" w:cs="Arial"/>
          <w:sz w:val="20"/>
          <w:szCs w:val="20"/>
        </w:rPr>
        <w:t>842,512,337</w:t>
      </w:r>
    </w:p>
    <w:p w:rsidR="00E0194C" w:rsidRDefault="009F1909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909">
        <w:rPr>
          <w:rFonts w:ascii="Arial" w:hAnsi="Arial" w:cs="Arial"/>
          <w:sz w:val="20"/>
          <w:szCs w:val="20"/>
        </w:rPr>
        <w:t xml:space="preserve">4.3. In case the Company's after-tax profit in 2019 changes </w:t>
      </w:r>
      <w:r w:rsidR="001538F3">
        <w:rPr>
          <w:rFonts w:ascii="Arial" w:hAnsi="Arial" w:cs="Arial"/>
          <w:sz w:val="20"/>
          <w:szCs w:val="20"/>
        </w:rPr>
        <w:t xml:space="preserve">after the tax </w:t>
      </w:r>
      <w:r w:rsidRPr="009F1909">
        <w:rPr>
          <w:rFonts w:ascii="Arial" w:hAnsi="Arial" w:cs="Arial"/>
          <w:sz w:val="20"/>
          <w:szCs w:val="20"/>
        </w:rPr>
        <w:t>settlement of the competent State agency, the increase (d</w:t>
      </w:r>
      <w:r w:rsidR="001538F3">
        <w:rPr>
          <w:rFonts w:ascii="Arial" w:hAnsi="Arial" w:cs="Arial"/>
          <w:sz w:val="20"/>
          <w:szCs w:val="20"/>
        </w:rPr>
        <w:t>ecrease) will be</w:t>
      </w:r>
      <w:r w:rsidRPr="009F1909">
        <w:rPr>
          <w:rFonts w:ascii="Arial" w:hAnsi="Arial" w:cs="Arial"/>
          <w:sz w:val="20"/>
          <w:szCs w:val="20"/>
        </w:rPr>
        <w:t xml:space="preserve"> adjusted to the beginning balance of the fiscal year</w:t>
      </w:r>
      <w:r w:rsidR="001538F3">
        <w:rPr>
          <w:rFonts w:ascii="Arial" w:hAnsi="Arial" w:cs="Arial"/>
          <w:sz w:val="20"/>
          <w:szCs w:val="20"/>
        </w:rPr>
        <w:t xml:space="preserve"> of</w:t>
      </w:r>
      <w:r w:rsidRPr="009F1909">
        <w:rPr>
          <w:rFonts w:ascii="Arial" w:hAnsi="Arial" w:cs="Arial"/>
          <w:sz w:val="20"/>
          <w:szCs w:val="20"/>
        </w:rPr>
        <w:t xml:space="preserve"> 2020 and </w:t>
      </w:r>
      <w:r w:rsidR="00FA4C41">
        <w:rPr>
          <w:rFonts w:ascii="Arial" w:hAnsi="Arial" w:cs="Arial"/>
          <w:sz w:val="20"/>
          <w:szCs w:val="20"/>
        </w:rPr>
        <w:t>noted in</w:t>
      </w:r>
      <w:r w:rsidRPr="009F1909">
        <w:rPr>
          <w:rFonts w:ascii="Arial" w:hAnsi="Arial" w:cs="Arial"/>
          <w:sz w:val="20"/>
          <w:szCs w:val="20"/>
        </w:rPr>
        <w:t xml:space="preserve"> the financial statement of 2020</w:t>
      </w:r>
    </w:p>
    <w:p w:rsidR="00FA4C41" w:rsidRDefault="00FA4C41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Result of implementation of authorized contents of the annual General Meeting of Shareholders of 2019</w:t>
      </w:r>
    </w:p>
    <w:p w:rsidR="00FA4C41" w:rsidRDefault="00725EEB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Summary </w:t>
      </w:r>
      <w:r w:rsidR="00C27148">
        <w:rPr>
          <w:rFonts w:ascii="Arial" w:hAnsi="Arial" w:cs="Arial"/>
          <w:sz w:val="20"/>
          <w:szCs w:val="20"/>
        </w:rPr>
        <w:t>of meetings of the Board of Directors and decisions of the Board of Directors in 2019</w:t>
      </w:r>
    </w:p>
    <w:p w:rsidR="00C27148" w:rsidRDefault="00C27148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Result of supervision for Director in 2019</w:t>
      </w:r>
    </w:p>
    <w:p w:rsidR="00C27148" w:rsidRDefault="00C27148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 Operation results of term III (2015 – 2020)</w:t>
      </w:r>
    </w:p>
    <w:p w:rsidR="00C27148" w:rsidRDefault="00C27148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Operation plan for 2020 and term of 2020 – 2025</w:t>
      </w:r>
    </w:p>
    <w:p w:rsidR="00C27148" w:rsidRDefault="00767DCC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Approve the report on operation of the Supervisory Board at the annual General Meeting of Shareholders of 2020; in report No.45 dated 14 May 2020</w:t>
      </w:r>
      <w:r w:rsidR="00133571">
        <w:rPr>
          <w:rFonts w:ascii="Arial" w:hAnsi="Arial" w:cs="Arial"/>
          <w:sz w:val="20"/>
          <w:szCs w:val="20"/>
        </w:rPr>
        <w:t xml:space="preserve"> of the Supervisory Board as follows:</w:t>
      </w:r>
    </w:p>
    <w:p w:rsidR="00133571" w:rsidRDefault="00133571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Assessment of operation in 2019</w:t>
      </w:r>
    </w:p>
    <w:p w:rsidR="00133571" w:rsidRDefault="00133571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Operation results of 2019</w:t>
      </w:r>
    </w:p>
    <w:p w:rsidR="00133571" w:rsidRDefault="00133571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 Approve the </w:t>
      </w:r>
      <w:r w:rsidR="00DD63E8">
        <w:rPr>
          <w:rFonts w:ascii="Arial" w:hAnsi="Arial" w:cs="Arial"/>
          <w:sz w:val="20"/>
          <w:szCs w:val="20"/>
        </w:rPr>
        <w:t>financial statement of 2019 audited by PKF Vietnam Co., Ltd in report No. 46/BC – HDQT dated 14 May 2020 of the Board of Directors of the Company as follows:</w:t>
      </w:r>
    </w:p>
    <w:p w:rsidR="00DD63E8" w:rsidRDefault="000C7755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Approve statement No.47/ TTr – HDQT dated 14 May 2020 of the Board of Directors on financial plan, authorizing the Board of Directors to select an auditing company and implement some </w:t>
      </w:r>
      <w:r w:rsidR="00283DCF">
        <w:rPr>
          <w:rFonts w:ascii="Arial" w:hAnsi="Arial" w:cs="Arial"/>
          <w:sz w:val="20"/>
          <w:szCs w:val="20"/>
        </w:rPr>
        <w:t>contents in 2020 as follows:</w:t>
      </w:r>
    </w:p>
    <w:p w:rsidR="00283DCF" w:rsidRDefault="00283DCF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 Financial plan for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4318"/>
        <w:gridCol w:w="2393"/>
        <w:gridCol w:w="2393"/>
      </w:tblGrid>
      <w:tr w:rsidR="00283DCF" w:rsidTr="00283DCF">
        <w:tc>
          <w:tcPr>
            <w:tcW w:w="472" w:type="dxa"/>
          </w:tcPr>
          <w:p w:rsidR="00283DCF" w:rsidRDefault="00283DCF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18" w:type="dxa"/>
          </w:tcPr>
          <w:p w:rsidR="00283DCF" w:rsidRDefault="00283DCF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3" w:type="dxa"/>
          </w:tcPr>
          <w:p w:rsidR="00283DCF" w:rsidRDefault="00283DCF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393" w:type="dxa"/>
          </w:tcPr>
          <w:p w:rsidR="00283DCF" w:rsidRDefault="00283DCF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for 2020</w:t>
            </w:r>
          </w:p>
        </w:tc>
      </w:tr>
      <w:tr w:rsidR="00283DCF" w:rsidTr="00283DCF">
        <w:tc>
          <w:tcPr>
            <w:tcW w:w="472" w:type="dxa"/>
          </w:tcPr>
          <w:p w:rsidR="00283DCF" w:rsidRDefault="00283DCF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8" w:type="dxa"/>
          </w:tcPr>
          <w:p w:rsidR="00283DCF" w:rsidRDefault="00283DCF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state-owned capital</w:t>
            </w:r>
          </w:p>
        </w:tc>
        <w:tc>
          <w:tcPr>
            <w:tcW w:w="2393" w:type="dxa"/>
          </w:tcPr>
          <w:p w:rsidR="00283DCF" w:rsidRDefault="00283DCF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283DCF" w:rsidRDefault="00283DCF" w:rsidP="009F19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76,500</w:t>
            </w:r>
          </w:p>
        </w:tc>
      </w:tr>
      <w:tr w:rsidR="00283DCF" w:rsidTr="00283DCF">
        <w:tc>
          <w:tcPr>
            <w:tcW w:w="472" w:type="dxa"/>
          </w:tcPr>
          <w:p w:rsidR="00283DCF" w:rsidRDefault="00283DCF" w:rsidP="00283D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8" w:type="dxa"/>
          </w:tcPr>
          <w:p w:rsidR="00283DCF" w:rsidRDefault="00283DCF" w:rsidP="00283D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investment</w:t>
            </w:r>
          </w:p>
        </w:tc>
        <w:tc>
          <w:tcPr>
            <w:tcW w:w="2393" w:type="dxa"/>
          </w:tcPr>
          <w:p w:rsidR="00283DCF" w:rsidRDefault="00283DCF" w:rsidP="00283DCF">
            <w:r w:rsidRPr="003562F1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283DCF" w:rsidRDefault="00283DCF" w:rsidP="00283D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190,000</w:t>
            </w:r>
          </w:p>
        </w:tc>
      </w:tr>
      <w:tr w:rsidR="00283DCF" w:rsidTr="00283DCF">
        <w:tc>
          <w:tcPr>
            <w:tcW w:w="472" w:type="dxa"/>
          </w:tcPr>
          <w:p w:rsidR="00283DCF" w:rsidRDefault="00283DCF" w:rsidP="00283D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8" w:type="dxa"/>
          </w:tcPr>
          <w:p w:rsidR="00283DCF" w:rsidRDefault="00283DCF" w:rsidP="00283D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production</w:t>
            </w:r>
          </w:p>
        </w:tc>
        <w:tc>
          <w:tcPr>
            <w:tcW w:w="2393" w:type="dxa"/>
          </w:tcPr>
          <w:p w:rsidR="00283DCF" w:rsidRDefault="00283DCF" w:rsidP="00283DCF">
            <w:r w:rsidRPr="003562F1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283DCF" w:rsidRDefault="00283DCF" w:rsidP="00283D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449,500</w:t>
            </w:r>
          </w:p>
        </w:tc>
      </w:tr>
      <w:tr w:rsidR="00283DCF" w:rsidTr="00283DCF">
        <w:tc>
          <w:tcPr>
            <w:tcW w:w="472" w:type="dxa"/>
          </w:tcPr>
          <w:p w:rsidR="00283DCF" w:rsidRDefault="00283DCF" w:rsidP="00283D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8" w:type="dxa"/>
          </w:tcPr>
          <w:p w:rsidR="00283DCF" w:rsidRDefault="00283DCF" w:rsidP="00283D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 and other income</w:t>
            </w:r>
          </w:p>
        </w:tc>
        <w:tc>
          <w:tcPr>
            <w:tcW w:w="2393" w:type="dxa"/>
          </w:tcPr>
          <w:p w:rsidR="00283DCF" w:rsidRDefault="00283DCF" w:rsidP="00283DCF">
            <w:r w:rsidRPr="003562F1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283DCF" w:rsidRDefault="00283DCF" w:rsidP="00283D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</w:tr>
      <w:tr w:rsidR="00D773C8" w:rsidTr="00283DCF">
        <w:tc>
          <w:tcPr>
            <w:tcW w:w="472" w:type="dxa"/>
          </w:tcPr>
          <w:p w:rsidR="00D773C8" w:rsidRDefault="00D773C8" w:rsidP="00D773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</w:tcPr>
          <w:p w:rsidR="00D773C8" w:rsidRDefault="00D773C8" w:rsidP="00D773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revenue</w:t>
            </w:r>
          </w:p>
        </w:tc>
        <w:tc>
          <w:tcPr>
            <w:tcW w:w="2393" w:type="dxa"/>
          </w:tcPr>
          <w:p w:rsidR="00D773C8" w:rsidRDefault="00D773C8" w:rsidP="00D773C8">
            <w:r w:rsidRPr="003562F1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D773C8" w:rsidRDefault="00D773C8" w:rsidP="00D773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9,091</w:t>
            </w:r>
          </w:p>
        </w:tc>
      </w:tr>
      <w:tr w:rsidR="00D773C8" w:rsidTr="00283DCF">
        <w:tc>
          <w:tcPr>
            <w:tcW w:w="472" w:type="dxa"/>
          </w:tcPr>
          <w:p w:rsidR="00D773C8" w:rsidRDefault="00D773C8" w:rsidP="00D773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</w:tcPr>
          <w:p w:rsidR="00D773C8" w:rsidRDefault="00D773C8" w:rsidP="00D773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and infrastructure revenue</w:t>
            </w:r>
          </w:p>
        </w:tc>
        <w:tc>
          <w:tcPr>
            <w:tcW w:w="2393" w:type="dxa"/>
          </w:tcPr>
          <w:p w:rsidR="00D773C8" w:rsidRDefault="00D773C8" w:rsidP="00D773C8">
            <w:r w:rsidRPr="003562F1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D773C8" w:rsidRDefault="00D773C8" w:rsidP="00D773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290,000</w:t>
            </w:r>
          </w:p>
        </w:tc>
      </w:tr>
      <w:tr w:rsidR="00D773C8" w:rsidTr="00283DCF">
        <w:tc>
          <w:tcPr>
            <w:tcW w:w="472" w:type="dxa"/>
          </w:tcPr>
          <w:p w:rsidR="00D773C8" w:rsidRDefault="00D773C8" w:rsidP="00D773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</w:tcPr>
          <w:p w:rsidR="00D773C8" w:rsidRDefault="00D773C8" w:rsidP="00D773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revenue</w:t>
            </w:r>
          </w:p>
        </w:tc>
        <w:tc>
          <w:tcPr>
            <w:tcW w:w="2393" w:type="dxa"/>
          </w:tcPr>
          <w:p w:rsidR="00D773C8" w:rsidRDefault="00D773C8" w:rsidP="00D773C8">
            <w:r w:rsidRPr="003562F1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D773C8" w:rsidRDefault="00D773C8" w:rsidP="00D773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</w:t>
            </w:r>
          </w:p>
        </w:tc>
      </w:tr>
      <w:tr w:rsidR="00465EB6" w:rsidTr="00283DCF">
        <w:tc>
          <w:tcPr>
            <w:tcW w:w="472" w:type="dxa"/>
          </w:tcPr>
          <w:p w:rsidR="00465EB6" w:rsidRDefault="00465EB6" w:rsidP="00465E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8" w:type="dxa"/>
          </w:tcPr>
          <w:p w:rsidR="00465EB6" w:rsidRDefault="00465EB6" w:rsidP="00465E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393" w:type="dxa"/>
          </w:tcPr>
          <w:p w:rsidR="00465EB6" w:rsidRDefault="00465EB6" w:rsidP="00465EB6">
            <w:r w:rsidRPr="003562F1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465EB6" w:rsidRDefault="00465EB6" w:rsidP="00465E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15,750</w:t>
            </w:r>
          </w:p>
        </w:tc>
      </w:tr>
      <w:tr w:rsidR="00465EB6" w:rsidTr="00283DCF">
        <w:tc>
          <w:tcPr>
            <w:tcW w:w="472" w:type="dxa"/>
          </w:tcPr>
          <w:p w:rsidR="00465EB6" w:rsidRDefault="00465EB6" w:rsidP="00465E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8" w:type="dxa"/>
          </w:tcPr>
          <w:p w:rsidR="00465EB6" w:rsidRDefault="00465EB6" w:rsidP="00465E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2393" w:type="dxa"/>
          </w:tcPr>
          <w:p w:rsidR="00465EB6" w:rsidRDefault="00465EB6" w:rsidP="00465EB6">
            <w:r w:rsidRPr="003562F1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465EB6" w:rsidRDefault="00465EB6" w:rsidP="00465E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12,600</w:t>
            </w:r>
          </w:p>
        </w:tc>
      </w:tr>
      <w:tr w:rsidR="00465EB6" w:rsidTr="00283DCF">
        <w:tc>
          <w:tcPr>
            <w:tcW w:w="472" w:type="dxa"/>
          </w:tcPr>
          <w:p w:rsidR="00465EB6" w:rsidRDefault="00465EB6" w:rsidP="00465E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8" w:type="dxa"/>
          </w:tcPr>
          <w:p w:rsidR="00465EB6" w:rsidRDefault="00465EB6" w:rsidP="00465E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tax/ charter capital </w:t>
            </w:r>
          </w:p>
        </w:tc>
        <w:tc>
          <w:tcPr>
            <w:tcW w:w="2393" w:type="dxa"/>
          </w:tcPr>
          <w:p w:rsidR="00465EB6" w:rsidRDefault="00465EB6" w:rsidP="00465EB6">
            <w:r w:rsidRPr="003562F1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465EB6" w:rsidRDefault="00465EB6" w:rsidP="00465E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10.50%</w:t>
            </w:r>
          </w:p>
        </w:tc>
      </w:tr>
      <w:tr w:rsidR="00465EB6" w:rsidTr="00283DCF">
        <w:tc>
          <w:tcPr>
            <w:tcW w:w="472" w:type="dxa"/>
          </w:tcPr>
          <w:p w:rsidR="00465EB6" w:rsidRDefault="00465EB6" w:rsidP="00465E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8" w:type="dxa"/>
          </w:tcPr>
          <w:p w:rsidR="00465EB6" w:rsidRDefault="00465EB6" w:rsidP="00465E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Owner's equity </w:t>
            </w:r>
          </w:p>
        </w:tc>
        <w:tc>
          <w:tcPr>
            <w:tcW w:w="2393" w:type="dxa"/>
          </w:tcPr>
          <w:p w:rsidR="00465EB6" w:rsidRDefault="00465EB6" w:rsidP="00465EB6">
            <w:r w:rsidRPr="003562F1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465EB6" w:rsidRDefault="00465EB6" w:rsidP="00465EB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206.708</w:t>
            </w:r>
          </w:p>
        </w:tc>
      </w:tr>
      <w:tr w:rsidR="0099426F" w:rsidTr="00283DCF">
        <w:tc>
          <w:tcPr>
            <w:tcW w:w="472" w:type="dxa"/>
          </w:tcPr>
          <w:p w:rsidR="0099426F" w:rsidRDefault="0099426F" w:rsidP="009942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8" w:type="dxa"/>
          </w:tcPr>
          <w:p w:rsidR="0099426F" w:rsidRDefault="0099426F" w:rsidP="009942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KHTSCD, TBTC</w:t>
            </w:r>
          </w:p>
        </w:tc>
        <w:tc>
          <w:tcPr>
            <w:tcW w:w="2393" w:type="dxa"/>
          </w:tcPr>
          <w:p w:rsidR="0099426F" w:rsidRDefault="0099426F" w:rsidP="0099426F">
            <w:r w:rsidRPr="003562F1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99426F" w:rsidRDefault="0099426F" w:rsidP="009942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1,349</w:t>
            </w:r>
          </w:p>
        </w:tc>
      </w:tr>
      <w:tr w:rsidR="0099426F" w:rsidTr="00283DCF">
        <w:tc>
          <w:tcPr>
            <w:tcW w:w="472" w:type="dxa"/>
          </w:tcPr>
          <w:p w:rsidR="0099426F" w:rsidRDefault="0099426F" w:rsidP="009942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8" w:type="dxa"/>
          </w:tcPr>
          <w:p w:rsidR="0099426F" w:rsidRDefault="0099426F" w:rsidP="009942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labor of the whole year</w:t>
            </w:r>
          </w:p>
        </w:tc>
        <w:tc>
          <w:tcPr>
            <w:tcW w:w="2393" w:type="dxa"/>
          </w:tcPr>
          <w:p w:rsidR="0099426F" w:rsidRDefault="0099426F" w:rsidP="009942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2393" w:type="dxa"/>
          </w:tcPr>
          <w:p w:rsidR="0099426F" w:rsidRDefault="0099426F" w:rsidP="0099426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904474" w:rsidTr="00283DCF">
        <w:tc>
          <w:tcPr>
            <w:tcW w:w="472" w:type="dxa"/>
          </w:tcPr>
          <w:p w:rsidR="00904474" w:rsidRDefault="00904474" w:rsidP="009044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8" w:type="dxa"/>
          </w:tcPr>
          <w:p w:rsidR="00904474" w:rsidRDefault="00904474" w:rsidP="009044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salary fund</w:t>
            </w:r>
          </w:p>
        </w:tc>
        <w:tc>
          <w:tcPr>
            <w:tcW w:w="2393" w:type="dxa"/>
          </w:tcPr>
          <w:p w:rsidR="00904474" w:rsidRDefault="00904474" w:rsidP="00904474">
            <w:r w:rsidRPr="003562F1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904474" w:rsidRDefault="00904474" w:rsidP="009044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11,963</w:t>
            </w:r>
          </w:p>
        </w:tc>
      </w:tr>
      <w:tr w:rsidR="00904474" w:rsidTr="00283DCF">
        <w:tc>
          <w:tcPr>
            <w:tcW w:w="472" w:type="dxa"/>
          </w:tcPr>
          <w:p w:rsidR="00904474" w:rsidRDefault="00904474" w:rsidP="009044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8" w:type="dxa"/>
          </w:tcPr>
          <w:p w:rsidR="00904474" w:rsidRDefault="00904474" w:rsidP="009044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Payable to the budget</w:t>
            </w:r>
          </w:p>
        </w:tc>
        <w:tc>
          <w:tcPr>
            <w:tcW w:w="2393" w:type="dxa"/>
          </w:tcPr>
          <w:p w:rsidR="00904474" w:rsidRDefault="00904474" w:rsidP="00904474">
            <w:r w:rsidRPr="003562F1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904474" w:rsidRDefault="00904474" w:rsidP="009044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15,000</w:t>
            </w:r>
          </w:p>
        </w:tc>
      </w:tr>
      <w:tr w:rsidR="00904474" w:rsidTr="00283DCF">
        <w:tc>
          <w:tcPr>
            <w:tcW w:w="472" w:type="dxa"/>
          </w:tcPr>
          <w:p w:rsidR="00904474" w:rsidRDefault="00904474" w:rsidP="009044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8" w:type="dxa"/>
          </w:tcPr>
          <w:p w:rsidR="00904474" w:rsidRDefault="00904474" w:rsidP="009044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Contributing to the State's budget </w:t>
            </w:r>
          </w:p>
        </w:tc>
        <w:tc>
          <w:tcPr>
            <w:tcW w:w="2393" w:type="dxa"/>
          </w:tcPr>
          <w:p w:rsidR="00904474" w:rsidRDefault="00904474" w:rsidP="00904474">
            <w:r w:rsidRPr="003562F1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904474" w:rsidRDefault="00904474" w:rsidP="009044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904474" w:rsidTr="00283DCF">
        <w:tc>
          <w:tcPr>
            <w:tcW w:w="472" w:type="dxa"/>
          </w:tcPr>
          <w:p w:rsidR="00904474" w:rsidRDefault="00904474" w:rsidP="009044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8" w:type="dxa"/>
          </w:tcPr>
          <w:p w:rsidR="00904474" w:rsidRDefault="00904474" w:rsidP="009044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capital need</w:t>
            </w:r>
          </w:p>
        </w:tc>
        <w:tc>
          <w:tcPr>
            <w:tcW w:w="2393" w:type="dxa"/>
          </w:tcPr>
          <w:p w:rsidR="00904474" w:rsidRDefault="00904474" w:rsidP="00904474">
            <w:r w:rsidRPr="003562F1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904474" w:rsidRDefault="00904474" w:rsidP="009044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449,500</w:t>
            </w:r>
          </w:p>
        </w:tc>
      </w:tr>
      <w:tr w:rsidR="00904474" w:rsidTr="00283DCF">
        <w:tc>
          <w:tcPr>
            <w:tcW w:w="472" w:type="dxa"/>
          </w:tcPr>
          <w:p w:rsidR="00904474" w:rsidRDefault="00904474" w:rsidP="009044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</w:tcPr>
          <w:p w:rsidR="00904474" w:rsidRDefault="00904474" w:rsidP="009044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Construction </w:t>
            </w:r>
          </w:p>
        </w:tc>
        <w:tc>
          <w:tcPr>
            <w:tcW w:w="2393" w:type="dxa"/>
          </w:tcPr>
          <w:p w:rsidR="00904474" w:rsidRDefault="00904474" w:rsidP="00904474">
            <w:r w:rsidRPr="003562F1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904474" w:rsidRDefault="00904474" w:rsidP="009044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103,300</w:t>
            </w:r>
          </w:p>
        </w:tc>
      </w:tr>
      <w:tr w:rsidR="00904474" w:rsidTr="00283DCF">
        <w:tc>
          <w:tcPr>
            <w:tcW w:w="472" w:type="dxa"/>
          </w:tcPr>
          <w:p w:rsidR="00904474" w:rsidRDefault="00904474" w:rsidP="009044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</w:tcPr>
          <w:p w:rsidR="00904474" w:rsidRDefault="00904474" w:rsidP="009044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Infrastructure and housing business</w:t>
            </w:r>
          </w:p>
        </w:tc>
        <w:tc>
          <w:tcPr>
            <w:tcW w:w="2393" w:type="dxa"/>
          </w:tcPr>
          <w:p w:rsidR="00904474" w:rsidRDefault="00904474" w:rsidP="00904474">
            <w:r w:rsidRPr="003562F1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904474" w:rsidRDefault="0097468C" w:rsidP="009044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345,200</w:t>
            </w:r>
          </w:p>
        </w:tc>
      </w:tr>
      <w:tr w:rsidR="0097468C" w:rsidTr="00283DCF">
        <w:tc>
          <w:tcPr>
            <w:tcW w:w="472" w:type="dxa"/>
          </w:tcPr>
          <w:p w:rsidR="0097468C" w:rsidRDefault="0097468C" w:rsidP="009746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</w:tcPr>
          <w:p w:rsidR="0097468C" w:rsidRDefault="0097468C" w:rsidP="009746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business</w:t>
            </w:r>
          </w:p>
        </w:tc>
        <w:tc>
          <w:tcPr>
            <w:tcW w:w="2393" w:type="dxa"/>
          </w:tcPr>
          <w:p w:rsidR="0097468C" w:rsidRDefault="0097468C" w:rsidP="0097468C">
            <w:r w:rsidRPr="003562F1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97468C" w:rsidRDefault="0097468C" w:rsidP="009746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</w:tr>
      <w:tr w:rsidR="0097468C" w:rsidTr="00283DCF">
        <w:tc>
          <w:tcPr>
            <w:tcW w:w="472" w:type="dxa"/>
          </w:tcPr>
          <w:p w:rsidR="0097468C" w:rsidRDefault="0097468C" w:rsidP="009746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</w:tcPr>
          <w:p w:rsidR="0097468C" w:rsidRDefault="0097468C" w:rsidP="009746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which: bank loan + individual mobilization, bond issue and others</w:t>
            </w:r>
          </w:p>
        </w:tc>
        <w:tc>
          <w:tcPr>
            <w:tcW w:w="2393" w:type="dxa"/>
          </w:tcPr>
          <w:p w:rsidR="0097468C" w:rsidRDefault="0097468C" w:rsidP="0097468C">
            <w:r w:rsidRPr="003562F1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97468C" w:rsidRDefault="0097468C" w:rsidP="009746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269,700</w:t>
            </w:r>
          </w:p>
        </w:tc>
      </w:tr>
    </w:tbl>
    <w:p w:rsidR="00283DCF" w:rsidRDefault="00283DCF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468C" w:rsidRDefault="0097468C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 Selecting an auditing unit for 2020</w:t>
      </w:r>
    </w:p>
    <w:p w:rsidR="0097468C" w:rsidRDefault="0097468C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 Authorizing the Board of Directors to approve in 2020</w:t>
      </w:r>
    </w:p>
    <w:p w:rsidR="00E4383A" w:rsidRDefault="00E4383A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Approve statement No.48/ TT – HUD4 dated 14 May 2020 of the Board of Directors on plan for remuneration payment to members of the Board of Directors and Supervisory Board in 2020</w:t>
      </w:r>
    </w:p>
    <w:p w:rsidR="00E4383A" w:rsidRDefault="00E4383A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 </w:t>
      </w:r>
      <w:r w:rsidR="00BF02E0">
        <w:rPr>
          <w:rFonts w:ascii="Arial" w:hAnsi="Arial" w:cs="Arial"/>
          <w:sz w:val="20"/>
          <w:szCs w:val="20"/>
        </w:rPr>
        <w:t>The Company built the average income of part-time managers: VND 6.63 million/ person/ month, equivalent to 20% of the salary of full-time managers (average salary of full-time managers in 2020: VND 33.14 million)</w:t>
      </w:r>
    </w:p>
    <w:p w:rsidR="00BF02E0" w:rsidRDefault="00BF02E0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 Remuneration payment</w:t>
      </w:r>
    </w:p>
    <w:p w:rsidR="00BF02E0" w:rsidRDefault="00543640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3640">
        <w:rPr>
          <w:rFonts w:ascii="Arial" w:hAnsi="Arial" w:cs="Arial"/>
          <w:sz w:val="20"/>
          <w:szCs w:val="20"/>
        </w:rPr>
        <w:t>- For</w:t>
      </w:r>
      <w:r w:rsidR="001052C5">
        <w:rPr>
          <w:rFonts w:ascii="Arial" w:hAnsi="Arial" w:cs="Arial"/>
          <w:sz w:val="20"/>
          <w:szCs w:val="20"/>
        </w:rPr>
        <w:t xml:space="preserve"> full-time</w:t>
      </w:r>
      <w:r w:rsidRPr="00543640">
        <w:rPr>
          <w:rFonts w:ascii="Arial" w:hAnsi="Arial" w:cs="Arial"/>
          <w:sz w:val="20"/>
          <w:szCs w:val="20"/>
        </w:rPr>
        <w:t xml:space="preserve"> members of the Board of Directors and the </w:t>
      </w:r>
      <w:r w:rsidR="001052C5">
        <w:rPr>
          <w:rFonts w:ascii="Arial" w:hAnsi="Arial" w:cs="Arial"/>
          <w:sz w:val="20"/>
          <w:szCs w:val="20"/>
        </w:rPr>
        <w:t>Supervisory Board</w:t>
      </w:r>
      <w:r w:rsidRPr="00543640">
        <w:rPr>
          <w:rFonts w:ascii="Arial" w:hAnsi="Arial" w:cs="Arial"/>
          <w:sz w:val="20"/>
          <w:szCs w:val="20"/>
        </w:rPr>
        <w:t xml:space="preserve"> of the Company, t</w:t>
      </w:r>
      <w:r w:rsidR="001052C5">
        <w:rPr>
          <w:rFonts w:ascii="Arial" w:hAnsi="Arial" w:cs="Arial"/>
          <w:sz w:val="20"/>
          <w:szCs w:val="20"/>
        </w:rPr>
        <w:t>he Company pays monthly salary</w:t>
      </w:r>
      <w:r w:rsidRPr="00543640">
        <w:rPr>
          <w:rFonts w:ascii="Arial" w:hAnsi="Arial" w:cs="Arial"/>
          <w:sz w:val="20"/>
          <w:szCs w:val="20"/>
        </w:rPr>
        <w:t xml:space="preserve"> and other benefits</w:t>
      </w:r>
      <w:r w:rsidR="001052C5">
        <w:rPr>
          <w:rFonts w:ascii="Arial" w:hAnsi="Arial" w:cs="Arial"/>
          <w:sz w:val="20"/>
          <w:szCs w:val="20"/>
        </w:rPr>
        <w:t xml:space="preserve"> in accordance with the</w:t>
      </w:r>
      <w:r w:rsidRPr="00543640">
        <w:rPr>
          <w:rFonts w:ascii="Arial" w:hAnsi="Arial" w:cs="Arial"/>
          <w:sz w:val="20"/>
          <w:szCs w:val="20"/>
        </w:rPr>
        <w:t xml:space="preserve"> rule of the Company, the</w:t>
      </w:r>
      <w:r w:rsidR="00291BE5">
        <w:rPr>
          <w:rFonts w:ascii="Arial" w:hAnsi="Arial" w:cs="Arial"/>
          <w:sz w:val="20"/>
          <w:szCs w:val="20"/>
        </w:rPr>
        <w:t>refore, no remuneration is paid</w:t>
      </w:r>
    </w:p>
    <w:p w:rsidR="001052C5" w:rsidRDefault="00291BE5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052C5" w:rsidRPr="001052C5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part-time</w:t>
      </w:r>
      <w:r w:rsidR="001052C5" w:rsidRPr="001052C5">
        <w:rPr>
          <w:rFonts w:ascii="Arial" w:hAnsi="Arial" w:cs="Arial"/>
          <w:sz w:val="20"/>
          <w:szCs w:val="20"/>
        </w:rPr>
        <w:t xml:space="preserve"> members of the Board of Directors, the Supervisory Board (expected to be 02 people), paying total remuneration</w:t>
      </w:r>
      <w:r>
        <w:rPr>
          <w:rFonts w:ascii="Arial" w:hAnsi="Arial" w:cs="Arial"/>
          <w:sz w:val="20"/>
          <w:szCs w:val="20"/>
        </w:rPr>
        <w:t xml:space="preserve"> </w:t>
      </w:r>
      <w:r w:rsidR="001052C5" w:rsidRPr="001052C5">
        <w:rPr>
          <w:rFonts w:ascii="Arial" w:hAnsi="Arial" w:cs="Arial"/>
          <w:sz w:val="20"/>
          <w:szCs w:val="20"/>
        </w:rPr>
        <w:t xml:space="preserve">equal </w:t>
      </w:r>
      <w:r w:rsidRPr="001052C5">
        <w:rPr>
          <w:rFonts w:ascii="Arial" w:hAnsi="Arial" w:cs="Arial"/>
          <w:sz w:val="20"/>
          <w:szCs w:val="20"/>
        </w:rPr>
        <w:t>VND</w:t>
      </w:r>
      <w:r>
        <w:rPr>
          <w:rFonts w:ascii="Arial" w:hAnsi="Arial" w:cs="Arial"/>
          <w:sz w:val="20"/>
          <w:szCs w:val="20"/>
        </w:rPr>
        <w:t xml:space="preserve"> </w:t>
      </w:r>
      <w:r w:rsidR="001052C5" w:rsidRPr="001052C5">
        <w:rPr>
          <w:rFonts w:ascii="Arial" w:hAnsi="Arial" w:cs="Arial"/>
          <w:sz w:val="20"/>
          <w:szCs w:val="20"/>
        </w:rPr>
        <w:t xml:space="preserve">159.12 million (02 people x </w:t>
      </w:r>
      <w:r w:rsidRPr="001052C5">
        <w:rPr>
          <w:rFonts w:ascii="Arial" w:hAnsi="Arial" w:cs="Arial"/>
          <w:sz w:val="20"/>
          <w:szCs w:val="20"/>
        </w:rPr>
        <w:t xml:space="preserve">VND </w:t>
      </w:r>
      <w:r w:rsidR="001052C5" w:rsidRPr="001052C5">
        <w:rPr>
          <w:rFonts w:ascii="Arial" w:hAnsi="Arial" w:cs="Arial"/>
          <w:sz w:val="20"/>
          <w:szCs w:val="20"/>
        </w:rPr>
        <w:t xml:space="preserve">6.63 million x 12 months). Remuneration is paid </w:t>
      </w:r>
      <w:r w:rsidR="001648AA">
        <w:rPr>
          <w:rFonts w:ascii="Arial" w:hAnsi="Arial" w:cs="Arial"/>
          <w:sz w:val="20"/>
          <w:szCs w:val="20"/>
        </w:rPr>
        <w:t>01 time/ year</w:t>
      </w:r>
      <w:r w:rsidR="001052C5" w:rsidRPr="001052C5">
        <w:rPr>
          <w:rFonts w:ascii="Arial" w:hAnsi="Arial" w:cs="Arial"/>
          <w:sz w:val="20"/>
          <w:szCs w:val="20"/>
        </w:rPr>
        <w:t>. For members of the Board of Dir</w:t>
      </w:r>
      <w:r w:rsidR="001648AA">
        <w:rPr>
          <w:rFonts w:ascii="Arial" w:hAnsi="Arial" w:cs="Arial"/>
          <w:sz w:val="20"/>
          <w:szCs w:val="20"/>
        </w:rPr>
        <w:t>ectors, the Supervisory Board who are</w:t>
      </w:r>
      <w:r w:rsidR="001052C5" w:rsidRPr="001052C5">
        <w:rPr>
          <w:rFonts w:ascii="Arial" w:hAnsi="Arial" w:cs="Arial"/>
          <w:sz w:val="20"/>
          <w:szCs w:val="20"/>
        </w:rPr>
        <w:t xml:space="preserve"> official</w:t>
      </w:r>
      <w:r w:rsidR="001648AA">
        <w:rPr>
          <w:rFonts w:ascii="Arial" w:hAnsi="Arial" w:cs="Arial"/>
          <w:sz w:val="20"/>
          <w:szCs w:val="20"/>
        </w:rPr>
        <w:t>s</w:t>
      </w:r>
      <w:r w:rsidR="001052C5" w:rsidRPr="001052C5">
        <w:rPr>
          <w:rFonts w:ascii="Arial" w:hAnsi="Arial" w:cs="Arial"/>
          <w:sz w:val="20"/>
          <w:szCs w:val="20"/>
        </w:rPr>
        <w:t xml:space="preserve"> of </w:t>
      </w:r>
      <w:r w:rsidR="00DC53A7">
        <w:rPr>
          <w:rFonts w:ascii="Arial" w:hAnsi="Arial" w:cs="Arial"/>
          <w:sz w:val="20"/>
          <w:szCs w:val="20"/>
        </w:rPr>
        <w:t>HUD Group</w:t>
      </w:r>
      <w:r w:rsidR="001052C5" w:rsidRPr="001052C5">
        <w:rPr>
          <w:rFonts w:ascii="Arial" w:hAnsi="Arial" w:cs="Arial"/>
          <w:sz w:val="20"/>
          <w:szCs w:val="20"/>
        </w:rPr>
        <w:t>, the money</w:t>
      </w:r>
      <w:r w:rsidR="00DC53A7">
        <w:rPr>
          <w:rFonts w:ascii="Arial" w:hAnsi="Arial" w:cs="Arial"/>
          <w:sz w:val="20"/>
          <w:szCs w:val="20"/>
        </w:rPr>
        <w:t xml:space="preserve"> is</w:t>
      </w:r>
      <w:r w:rsidR="001052C5" w:rsidRPr="001052C5">
        <w:rPr>
          <w:rFonts w:ascii="Arial" w:hAnsi="Arial" w:cs="Arial"/>
          <w:sz w:val="20"/>
          <w:szCs w:val="20"/>
        </w:rPr>
        <w:t xml:space="preserve"> transferred to the </w:t>
      </w:r>
      <w:r w:rsidR="00A537FF">
        <w:rPr>
          <w:rFonts w:ascii="Arial" w:hAnsi="Arial" w:cs="Arial"/>
          <w:sz w:val="20"/>
          <w:szCs w:val="20"/>
        </w:rPr>
        <w:t>Group for</w:t>
      </w:r>
      <w:r w:rsidR="001052C5" w:rsidRPr="001052C5">
        <w:rPr>
          <w:rFonts w:ascii="Arial" w:hAnsi="Arial" w:cs="Arial"/>
          <w:sz w:val="20"/>
          <w:szCs w:val="20"/>
        </w:rPr>
        <w:t xml:space="preserve"> the </w:t>
      </w:r>
      <w:r w:rsidR="00A537FF">
        <w:rPr>
          <w:rFonts w:ascii="Arial" w:hAnsi="Arial" w:cs="Arial"/>
          <w:sz w:val="20"/>
          <w:szCs w:val="20"/>
        </w:rPr>
        <w:t xml:space="preserve">Group </w:t>
      </w:r>
      <w:r w:rsidR="001052C5" w:rsidRPr="001052C5">
        <w:rPr>
          <w:rFonts w:ascii="Arial" w:hAnsi="Arial" w:cs="Arial"/>
          <w:sz w:val="20"/>
          <w:szCs w:val="20"/>
        </w:rPr>
        <w:t xml:space="preserve">to pay in accordance with the </w:t>
      </w:r>
      <w:r w:rsidR="00A537FF">
        <w:rPr>
          <w:rFonts w:ascii="Arial" w:hAnsi="Arial" w:cs="Arial"/>
          <w:sz w:val="20"/>
          <w:szCs w:val="20"/>
        </w:rPr>
        <w:t>Group</w:t>
      </w:r>
      <w:r w:rsidR="001052C5" w:rsidRPr="001052C5">
        <w:rPr>
          <w:rFonts w:ascii="Arial" w:hAnsi="Arial" w:cs="Arial"/>
          <w:sz w:val="20"/>
          <w:szCs w:val="20"/>
        </w:rPr>
        <w:t xml:space="preserve">'s regulations. Remuneration paid </w:t>
      </w:r>
      <w:r w:rsidR="00170DB8">
        <w:rPr>
          <w:rFonts w:ascii="Arial" w:hAnsi="Arial" w:cs="Arial"/>
          <w:sz w:val="20"/>
          <w:szCs w:val="20"/>
        </w:rPr>
        <w:t>is before tax;</w:t>
      </w:r>
      <w:r w:rsidR="001052C5" w:rsidRPr="001052C5">
        <w:rPr>
          <w:rFonts w:ascii="Arial" w:hAnsi="Arial" w:cs="Arial"/>
          <w:sz w:val="20"/>
          <w:szCs w:val="20"/>
        </w:rPr>
        <w:t xml:space="preserve"> the individual is responsible for declaring and paying personal income tax</w:t>
      </w:r>
      <w:r w:rsidR="00170DB8">
        <w:rPr>
          <w:rFonts w:ascii="Arial" w:hAnsi="Arial" w:cs="Arial"/>
          <w:sz w:val="20"/>
          <w:szCs w:val="20"/>
        </w:rPr>
        <w:t xml:space="preserve"> </w:t>
      </w:r>
      <w:r w:rsidR="001052C5" w:rsidRPr="001052C5">
        <w:rPr>
          <w:rFonts w:ascii="Arial" w:hAnsi="Arial" w:cs="Arial"/>
          <w:sz w:val="20"/>
          <w:szCs w:val="20"/>
        </w:rPr>
        <w:t xml:space="preserve">according to </w:t>
      </w:r>
      <w:r w:rsidR="00170DB8">
        <w:rPr>
          <w:rFonts w:ascii="Arial" w:hAnsi="Arial" w:cs="Arial"/>
          <w:sz w:val="20"/>
          <w:szCs w:val="20"/>
        </w:rPr>
        <w:t>the law</w:t>
      </w:r>
    </w:p>
    <w:p w:rsidR="00170DB8" w:rsidRDefault="00170DB8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Approve Charter of the Company including 21 chapters, 54 articles in accordance with the law</w:t>
      </w:r>
      <w:r w:rsidR="00487E4D">
        <w:rPr>
          <w:rFonts w:ascii="Arial" w:hAnsi="Arial" w:cs="Arial"/>
          <w:sz w:val="20"/>
          <w:szCs w:val="20"/>
        </w:rPr>
        <w:t>, actual governance, operation in 2020 and next years</w:t>
      </w:r>
    </w:p>
    <w:p w:rsidR="00487E4D" w:rsidRDefault="00487E4D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VIII. </w:t>
      </w:r>
      <w:r w:rsidR="000B48B3">
        <w:rPr>
          <w:rFonts w:ascii="Arial" w:hAnsi="Arial" w:cs="Arial"/>
          <w:sz w:val="20"/>
          <w:szCs w:val="20"/>
        </w:rPr>
        <w:t>Approve the result of electing the Board of Directors and Supervisory Board for term of 2020 – 2025 as follows:</w:t>
      </w:r>
    </w:p>
    <w:p w:rsidR="000B48B3" w:rsidRDefault="000B48B3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of Directors: 05 persons</w:t>
      </w:r>
    </w:p>
    <w:p w:rsidR="000B48B3" w:rsidRDefault="000B48B3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Mr. Le Quang Hiep</w:t>
      </w:r>
    </w:p>
    <w:p w:rsidR="000B48B3" w:rsidRDefault="000B48B3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Mr. Nguyen Viet Hung</w:t>
      </w:r>
    </w:p>
    <w:p w:rsidR="000B48B3" w:rsidRDefault="000B48B3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Ms. Tran Thi Quynh Hoa</w:t>
      </w:r>
    </w:p>
    <w:p w:rsidR="000B48B3" w:rsidRDefault="000B48B3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Mr. Le Do Thang</w:t>
      </w:r>
    </w:p>
    <w:p w:rsidR="000B48B3" w:rsidRDefault="000B48B3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Mr. Hoang Quoc Dat</w:t>
      </w:r>
    </w:p>
    <w:p w:rsidR="000B48B3" w:rsidRDefault="000B48B3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Supervisory Board: 03 persons</w:t>
      </w:r>
    </w:p>
    <w:p w:rsidR="000B48B3" w:rsidRDefault="000B48B3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Ms. Nguyen Thi Thanh Thuy</w:t>
      </w:r>
    </w:p>
    <w:p w:rsidR="000B48B3" w:rsidRDefault="000B48B3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Ms. Nguyen Thi Hoa</w:t>
      </w:r>
    </w:p>
    <w:p w:rsidR="000B48B3" w:rsidRDefault="000B48B3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Ms. Nguyen Thi Yen</w:t>
      </w:r>
    </w:p>
    <w:p w:rsidR="000B48B3" w:rsidRDefault="000B48B3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IX The annual General Meeting of Shareholders </w:t>
      </w:r>
      <w:r w:rsidR="000B40DB" w:rsidRPr="000B40DB">
        <w:rPr>
          <w:rFonts w:ascii="Arial" w:hAnsi="Arial" w:cs="Arial"/>
          <w:sz w:val="20"/>
          <w:szCs w:val="20"/>
        </w:rPr>
        <w:t>acquire</w:t>
      </w:r>
      <w:r w:rsidR="000B40DB">
        <w:rPr>
          <w:rFonts w:ascii="Arial" w:hAnsi="Arial" w:cs="Arial"/>
          <w:sz w:val="20"/>
          <w:szCs w:val="20"/>
        </w:rPr>
        <w:t>s</w:t>
      </w:r>
      <w:r w:rsidR="000B40DB" w:rsidRPr="000B40DB">
        <w:rPr>
          <w:rFonts w:ascii="Arial" w:hAnsi="Arial" w:cs="Arial"/>
          <w:sz w:val="20"/>
          <w:szCs w:val="20"/>
        </w:rPr>
        <w:t xml:space="preserve"> and comprehend</w:t>
      </w:r>
      <w:r w:rsidR="000B40DB">
        <w:rPr>
          <w:rFonts w:ascii="Arial" w:hAnsi="Arial" w:cs="Arial"/>
          <w:sz w:val="20"/>
          <w:szCs w:val="20"/>
        </w:rPr>
        <w:t>s all opinions of shareholders to supplement the operation plan for 2020, period of 2020 – 2025</w:t>
      </w:r>
    </w:p>
    <w:p w:rsidR="000B40DB" w:rsidRDefault="000B40DB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X. </w:t>
      </w:r>
      <w:r w:rsidR="000004A1">
        <w:rPr>
          <w:rFonts w:ascii="Arial" w:hAnsi="Arial" w:cs="Arial"/>
          <w:sz w:val="20"/>
          <w:szCs w:val="20"/>
        </w:rPr>
        <w:t>The annual General Meeting of Shareholders approved the contents of the General Mandate 2020 through votes</w:t>
      </w:r>
    </w:p>
    <w:p w:rsidR="000004A1" w:rsidRDefault="000004A1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XI. This annual General Mandate takes effect from the signing date. All shareholders of </w:t>
      </w:r>
      <w:r w:rsidRPr="000004A1">
        <w:rPr>
          <w:rFonts w:ascii="Arial" w:hAnsi="Arial" w:cs="Arial"/>
          <w:sz w:val="20"/>
          <w:szCs w:val="20"/>
        </w:rPr>
        <w:t>HUD4 Investment and Construction Joint Stock Company</w:t>
      </w:r>
      <w:r>
        <w:rPr>
          <w:rFonts w:ascii="Arial" w:hAnsi="Arial" w:cs="Arial"/>
          <w:sz w:val="20"/>
          <w:szCs w:val="20"/>
        </w:rPr>
        <w:t xml:space="preserve">, members of the Board of Directors, Supervisory Board and employees of the Company are responsible for following this annual General Mandate </w:t>
      </w:r>
    </w:p>
    <w:p w:rsidR="000B48B3" w:rsidRDefault="000B48B3" w:rsidP="009F19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B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04A1"/>
    <w:rsid w:val="00006C3C"/>
    <w:rsid w:val="00007B2E"/>
    <w:rsid w:val="00022849"/>
    <w:rsid w:val="00025C89"/>
    <w:rsid w:val="000266C2"/>
    <w:rsid w:val="000365C1"/>
    <w:rsid w:val="00041D21"/>
    <w:rsid w:val="00050E3D"/>
    <w:rsid w:val="000603A9"/>
    <w:rsid w:val="000635A5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40DB"/>
    <w:rsid w:val="000B48B3"/>
    <w:rsid w:val="000B6969"/>
    <w:rsid w:val="000C4127"/>
    <w:rsid w:val="000C7755"/>
    <w:rsid w:val="000D073C"/>
    <w:rsid w:val="000D0CFB"/>
    <w:rsid w:val="000D0FEB"/>
    <w:rsid w:val="000D20D4"/>
    <w:rsid w:val="000D25FC"/>
    <w:rsid w:val="000E4CD5"/>
    <w:rsid w:val="000E518E"/>
    <w:rsid w:val="000E71F4"/>
    <w:rsid w:val="000F07F7"/>
    <w:rsid w:val="000F5901"/>
    <w:rsid w:val="000F76F2"/>
    <w:rsid w:val="001052C5"/>
    <w:rsid w:val="001110AA"/>
    <w:rsid w:val="00114F74"/>
    <w:rsid w:val="00132EC5"/>
    <w:rsid w:val="00132FA0"/>
    <w:rsid w:val="00133571"/>
    <w:rsid w:val="00135A2F"/>
    <w:rsid w:val="00136CAF"/>
    <w:rsid w:val="001467B1"/>
    <w:rsid w:val="00146DCF"/>
    <w:rsid w:val="00151208"/>
    <w:rsid w:val="001538F3"/>
    <w:rsid w:val="00155048"/>
    <w:rsid w:val="001579A8"/>
    <w:rsid w:val="00160B92"/>
    <w:rsid w:val="00161658"/>
    <w:rsid w:val="0016411D"/>
    <w:rsid w:val="001648AA"/>
    <w:rsid w:val="00167E2F"/>
    <w:rsid w:val="00170DB8"/>
    <w:rsid w:val="001732CF"/>
    <w:rsid w:val="00183E6D"/>
    <w:rsid w:val="00185E8C"/>
    <w:rsid w:val="00191F14"/>
    <w:rsid w:val="001937B4"/>
    <w:rsid w:val="00194B6D"/>
    <w:rsid w:val="001C174F"/>
    <w:rsid w:val="001C7CD2"/>
    <w:rsid w:val="001D5E4A"/>
    <w:rsid w:val="001E4B88"/>
    <w:rsid w:val="001E707C"/>
    <w:rsid w:val="001F031F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06A8"/>
    <w:rsid w:val="00213694"/>
    <w:rsid w:val="0021553D"/>
    <w:rsid w:val="002164D2"/>
    <w:rsid w:val="00230BF1"/>
    <w:rsid w:val="002319EE"/>
    <w:rsid w:val="002357C4"/>
    <w:rsid w:val="00242FC6"/>
    <w:rsid w:val="0025148F"/>
    <w:rsid w:val="00252CE0"/>
    <w:rsid w:val="00254EA2"/>
    <w:rsid w:val="0026535B"/>
    <w:rsid w:val="002701FB"/>
    <w:rsid w:val="0028284F"/>
    <w:rsid w:val="00283DCF"/>
    <w:rsid w:val="0029161A"/>
    <w:rsid w:val="00291BE5"/>
    <w:rsid w:val="00296BF9"/>
    <w:rsid w:val="002A3D5D"/>
    <w:rsid w:val="002A5A98"/>
    <w:rsid w:val="002A5AA4"/>
    <w:rsid w:val="002B42CC"/>
    <w:rsid w:val="002C32A5"/>
    <w:rsid w:val="002C36A5"/>
    <w:rsid w:val="002D481A"/>
    <w:rsid w:val="002D4939"/>
    <w:rsid w:val="002D53EE"/>
    <w:rsid w:val="002E2CAD"/>
    <w:rsid w:val="002E43D7"/>
    <w:rsid w:val="002E76E5"/>
    <w:rsid w:val="002E7FD0"/>
    <w:rsid w:val="002F68A9"/>
    <w:rsid w:val="00304722"/>
    <w:rsid w:val="0030503E"/>
    <w:rsid w:val="0031274D"/>
    <w:rsid w:val="00316F05"/>
    <w:rsid w:val="003178DE"/>
    <w:rsid w:val="00320096"/>
    <w:rsid w:val="0032185B"/>
    <w:rsid w:val="00327CF7"/>
    <w:rsid w:val="003317D7"/>
    <w:rsid w:val="0033774A"/>
    <w:rsid w:val="00341204"/>
    <w:rsid w:val="00353428"/>
    <w:rsid w:val="00357391"/>
    <w:rsid w:val="003608E8"/>
    <w:rsid w:val="00367043"/>
    <w:rsid w:val="0037607E"/>
    <w:rsid w:val="003817AA"/>
    <w:rsid w:val="00387318"/>
    <w:rsid w:val="00394778"/>
    <w:rsid w:val="00397004"/>
    <w:rsid w:val="003A0ECB"/>
    <w:rsid w:val="003A5CE9"/>
    <w:rsid w:val="003B73F7"/>
    <w:rsid w:val="003B7790"/>
    <w:rsid w:val="003C1805"/>
    <w:rsid w:val="003C26F2"/>
    <w:rsid w:val="003C4606"/>
    <w:rsid w:val="003C6FDD"/>
    <w:rsid w:val="003D18D5"/>
    <w:rsid w:val="003D3B1C"/>
    <w:rsid w:val="003E60D6"/>
    <w:rsid w:val="003E73CA"/>
    <w:rsid w:val="00403A9C"/>
    <w:rsid w:val="00403E62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4F4D"/>
    <w:rsid w:val="004530A7"/>
    <w:rsid w:val="00453C9C"/>
    <w:rsid w:val="00456307"/>
    <w:rsid w:val="00461E4D"/>
    <w:rsid w:val="00465EB6"/>
    <w:rsid w:val="00467BC0"/>
    <w:rsid w:val="0047038B"/>
    <w:rsid w:val="00470844"/>
    <w:rsid w:val="00471390"/>
    <w:rsid w:val="00484CD5"/>
    <w:rsid w:val="00487E4D"/>
    <w:rsid w:val="00490B2B"/>
    <w:rsid w:val="00494DFC"/>
    <w:rsid w:val="00496733"/>
    <w:rsid w:val="004A3355"/>
    <w:rsid w:val="004A5289"/>
    <w:rsid w:val="004A554D"/>
    <w:rsid w:val="004B2BA6"/>
    <w:rsid w:val="004B4798"/>
    <w:rsid w:val="004C144F"/>
    <w:rsid w:val="004E4C16"/>
    <w:rsid w:val="004F3097"/>
    <w:rsid w:val="00503DD6"/>
    <w:rsid w:val="00505065"/>
    <w:rsid w:val="0051159D"/>
    <w:rsid w:val="0052379D"/>
    <w:rsid w:val="0052508C"/>
    <w:rsid w:val="0052657B"/>
    <w:rsid w:val="0053093D"/>
    <w:rsid w:val="005324AB"/>
    <w:rsid w:val="005327C7"/>
    <w:rsid w:val="005342CF"/>
    <w:rsid w:val="00543640"/>
    <w:rsid w:val="0055067A"/>
    <w:rsid w:val="00551A83"/>
    <w:rsid w:val="00551D12"/>
    <w:rsid w:val="005610CB"/>
    <w:rsid w:val="00567F3C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7F9C"/>
    <w:rsid w:val="005E268B"/>
    <w:rsid w:val="005E7B32"/>
    <w:rsid w:val="005F7ED5"/>
    <w:rsid w:val="006000D8"/>
    <w:rsid w:val="00602752"/>
    <w:rsid w:val="0063035E"/>
    <w:rsid w:val="0063581B"/>
    <w:rsid w:val="006374A1"/>
    <w:rsid w:val="00642CD0"/>
    <w:rsid w:val="00653D82"/>
    <w:rsid w:val="00662E88"/>
    <w:rsid w:val="00664834"/>
    <w:rsid w:val="006719CD"/>
    <w:rsid w:val="006938BF"/>
    <w:rsid w:val="006948E2"/>
    <w:rsid w:val="00694B5D"/>
    <w:rsid w:val="00695ACD"/>
    <w:rsid w:val="006A046B"/>
    <w:rsid w:val="006A7679"/>
    <w:rsid w:val="006B04E8"/>
    <w:rsid w:val="006B10DB"/>
    <w:rsid w:val="006B1F03"/>
    <w:rsid w:val="006B2038"/>
    <w:rsid w:val="006B36E8"/>
    <w:rsid w:val="006D01D8"/>
    <w:rsid w:val="006D683C"/>
    <w:rsid w:val="006E15A6"/>
    <w:rsid w:val="006E23FD"/>
    <w:rsid w:val="006E5E99"/>
    <w:rsid w:val="006F0E55"/>
    <w:rsid w:val="007023FD"/>
    <w:rsid w:val="007034A5"/>
    <w:rsid w:val="00703A99"/>
    <w:rsid w:val="00710F35"/>
    <w:rsid w:val="0071724B"/>
    <w:rsid w:val="007218D0"/>
    <w:rsid w:val="00725EEB"/>
    <w:rsid w:val="00732DC3"/>
    <w:rsid w:val="007336C9"/>
    <w:rsid w:val="0073373F"/>
    <w:rsid w:val="00744587"/>
    <w:rsid w:val="00745D9A"/>
    <w:rsid w:val="00747AF7"/>
    <w:rsid w:val="00750F3E"/>
    <w:rsid w:val="0075145F"/>
    <w:rsid w:val="00757555"/>
    <w:rsid w:val="007655FA"/>
    <w:rsid w:val="00766104"/>
    <w:rsid w:val="00767DCC"/>
    <w:rsid w:val="00772054"/>
    <w:rsid w:val="0077456B"/>
    <w:rsid w:val="00781EB4"/>
    <w:rsid w:val="0078221E"/>
    <w:rsid w:val="00795480"/>
    <w:rsid w:val="0079762F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3F86"/>
    <w:rsid w:val="007C54F1"/>
    <w:rsid w:val="007C7D8E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33E9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4D15"/>
    <w:rsid w:val="008C0872"/>
    <w:rsid w:val="008C33A0"/>
    <w:rsid w:val="008C46CA"/>
    <w:rsid w:val="008C7A42"/>
    <w:rsid w:val="008D12EB"/>
    <w:rsid w:val="008E5220"/>
    <w:rsid w:val="008F1C6C"/>
    <w:rsid w:val="00904474"/>
    <w:rsid w:val="00912FBD"/>
    <w:rsid w:val="00913009"/>
    <w:rsid w:val="009232CB"/>
    <w:rsid w:val="00923467"/>
    <w:rsid w:val="00932B1D"/>
    <w:rsid w:val="00934FC0"/>
    <w:rsid w:val="00937D79"/>
    <w:rsid w:val="009410B8"/>
    <w:rsid w:val="00943148"/>
    <w:rsid w:val="009464B8"/>
    <w:rsid w:val="00962777"/>
    <w:rsid w:val="00964DEC"/>
    <w:rsid w:val="00970B6C"/>
    <w:rsid w:val="00972274"/>
    <w:rsid w:val="0097468C"/>
    <w:rsid w:val="009764D4"/>
    <w:rsid w:val="00980267"/>
    <w:rsid w:val="00981275"/>
    <w:rsid w:val="00981536"/>
    <w:rsid w:val="0099040A"/>
    <w:rsid w:val="0099426F"/>
    <w:rsid w:val="009A6F47"/>
    <w:rsid w:val="009C28F2"/>
    <w:rsid w:val="009C2E6C"/>
    <w:rsid w:val="009D142E"/>
    <w:rsid w:val="009D598E"/>
    <w:rsid w:val="009E1744"/>
    <w:rsid w:val="009E4AC5"/>
    <w:rsid w:val="009F1909"/>
    <w:rsid w:val="009F2709"/>
    <w:rsid w:val="00A050AA"/>
    <w:rsid w:val="00A06443"/>
    <w:rsid w:val="00A06521"/>
    <w:rsid w:val="00A1214D"/>
    <w:rsid w:val="00A128FC"/>
    <w:rsid w:val="00A23E8D"/>
    <w:rsid w:val="00A30AD8"/>
    <w:rsid w:val="00A3371B"/>
    <w:rsid w:val="00A34999"/>
    <w:rsid w:val="00A4710B"/>
    <w:rsid w:val="00A47614"/>
    <w:rsid w:val="00A50631"/>
    <w:rsid w:val="00A537FF"/>
    <w:rsid w:val="00A544CF"/>
    <w:rsid w:val="00A61FAF"/>
    <w:rsid w:val="00A63B6C"/>
    <w:rsid w:val="00A754EB"/>
    <w:rsid w:val="00A87950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BC2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193E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83A97"/>
    <w:rsid w:val="00BA1F12"/>
    <w:rsid w:val="00BA2434"/>
    <w:rsid w:val="00BA2DBC"/>
    <w:rsid w:val="00BA3FB7"/>
    <w:rsid w:val="00BB1331"/>
    <w:rsid w:val="00BB149F"/>
    <w:rsid w:val="00BB19BD"/>
    <w:rsid w:val="00BB2980"/>
    <w:rsid w:val="00BB5801"/>
    <w:rsid w:val="00BC091E"/>
    <w:rsid w:val="00BC3120"/>
    <w:rsid w:val="00BD3CCA"/>
    <w:rsid w:val="00BD53C0"/>
    <w:rsid w:val="00BD6969"/>
    <w:rsid w:val="00BE1EFD"/>
    <w:rsid w:val="00BF02E0"/>
    <w:rsid w:val="00BF0485"/>
    <w:rsid w:val="00BF3143"/>
    <w:rsid w:val="00C02348"/>
    <w:rsid w:val="00C220E2"/>
    <w:rsid w:val="00C2280B"/>
    <w:rsid w:val="00C26F1A"/>
    <w:rsid w:val="00C27148"/>
    <w:rsid w:val="00C32F3A"/>
    <w:rsid w:val="00C33F82"/>
    <w:rsid w:val="00C36031"/>
    <w:rsid w:val="00C40291"/>
    <w:rsid w:val="00C57CB9"/>
    <w:rsid w:val="00C61E40"/>
    <w:rsid w:val="00C61EAF"/>
    <w:rsid w:val="00C7313A"/>
    <w:rsid w:val="00C85D78"/>
    <w:rsid w:val="00C940B5"/>
    <w:rsid w:val="00C97B83"/>
    <w:rsid w:val="00CA1BB3"/>
    <w:rsid w:val="00CB5C91"/>
    <w:rsid w:val="00CC13C8"/>
    <w:rsid w:val="00CC39D3"/>
    <w:rsid w:val="00CC5D2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672E0"/>
    <w:rsid w:val="00D74339"/>
    <w:rsid w:val="00D749F4"/>
    <w:rsid w:val="00D773C8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96E4B"/>
    <w:rsid w:val="00DA199B"/>
    <w:rsid w:val="00DA3531"/>
    <w:rsid w:val="00DA54D0"/>
    <w:rsid w:val="00DB2C71"/>
    <w:rsid w:val="00DB5EDC"/>
    <w:rsid w:val="00DC53A7"/>
    <w:rsid w:val="00DC5E0A"/>
    <w:rsid w:val="00DD1205"/>
    <w:rsid w:val="00DD263A"/>
    <w:rsid w:val="00DD47E8"/>
    <w:rsid w:val="00DD63E8"/>
    <w:rsid w:val="00DE5C3C"/>
    <w:rsid w:val="00DE63F0"/>
    <w:rsid w:val="00DF4180"/>
    <w:rsid w:val="00DF739B"/>
    <w:rsid w:val="00E01828"/>
    <w:rsid w:val="00E0194C"/>
    <w:rsid w:val="00E1216A"/>
    <w:rsid w:val="00E130EE"/>
    <w:rsid w:val="00E13C77"/>
    <w:rsid w:val="00E17016"/>
    <w:rsid w:val="00E20A0F"/>
    <w:rsid w:val="00E24F0A"/>
    <w:rsid w:val="00E27643"/>
    <w:rsid w:val="00E27923"/>
    <w:rsid w:val="00E3201F"/>
    <w:rsid w:val="00E33794"/>
    <w:rsid w:val="00E35884"/>
    <w:rsid w:val="00E4383A"/>
    <w:rsid w:val="00E46AFC"/>
    <w:rsid w:val="00E47B26"/>
    <w:rsid w:val="00E51F4E"/>
    <w:rsid w:val="00E53A5C"/>
    <w:rsid w:val="00E5565D"/>
    <w:rsid w:val="00E61DA8"/>
    <w:rsid w:val="00E65132"/>
    <w:rsid w:val="00E7691C"/>
    <w:rsid w:val="00E84649"/>
    <w:rsid w:val="00E901B3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EF6C61"/>
    <w:rsid w:val="00F272CE"/>
    <w:rsid w:val="00F320D6"/>
    <w:rsid w:val="00F33967"/>
    <w:rsid w:val="00F33EAB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4C41"/>
    <w:rsid w:val="00FA6F79"/>
    <w:rsid w:val="00FA7894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263CF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2035</TotalTime>
  <Pages>7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Hang Trinh Thi Minh</cp:lastModifiedBy>
  <cp:revision>320</cp:revision>
  <dcterms:created xsi:type="dcterms:W3CDTF">2019-10-16T10:03:00Z</dcterms:created>
  <dcterms:modified xsi:type="dcterms:W3CDTF">2020-06-05T09:00:00Z</dcterms:modified>
</cp:coreProperties>
</file>